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D1AE4D">
      <w:pPr>
        <w:pStyle w:val="18"/>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方正小标宋简体" w:hAnsi="方正小标宋简体" w:eastAsia="方正小标宋简体" w:cs="方正小标宋简体"/>
          <w:sz w:val="44"/>
          <w:szCs w:val="44"/>
          <w:lang w:val="en-US" w:eastAsia="zh-CN"/>
        </w:rPr>
      </w:pPr>
      <w:bookmarkStart w:id="0" w:name="bookmark2"/>
      <w:bookmarkStart w:id="1" w:name="bookmark1"/>
      <w:bookmarkStart w:id="2" w:name="bookmark0"/>
      <w:r>
        <w:rPr>
          <w:rFonts w:hint="eastAsia" w:ascii="方正小标宋简体" w:hAnsi="方正小标宋简体" w:eastAsia="方正小标宋简体" w:cs="方正小标宋简体"/>
          <w:sz w:val="44"/>
          <w:szCs w:val="44"/>
          <w:lang w:val="en-US" w:eastAsia="zh-CN"/>
        </w:rPr>
        <w:t xml:space="preserve"> 开封市文化旅游投资集团有限公司</w:t>
      </w:r>
    </w:p>
    <w:bookmarkEnd w:id="0"/>
    <w:bookmarkEnd w:id="1"/>
    <w:bookmarkEnd w:id="2"/>
    <w:p w14:paraId="750D83D9">
      <w:pPr>
        <w:pStyle w:val="18"/>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2024年度履行社会责任报告</w:t>
      </w:r>
    </w:p>
    <w:p w14:paraId="3E314930">
      <w:pPr>
        <w:pStyle w:val="19"/>
        <w:pageBreakBefore w:val="0"/>
        <w:widowControl w:val="0"/>
        <w:kinsoku/>
        <w:wordWrap/>
        <w:overflowPunct/>
        <w:topLinePunct w:val="0"/>
        <w:autoSpaceDE/>
        <w:autoSpaceDN/>
        <w:bidi w:val="0"/>
        <w:adjustRightInd/>
        <w:snapToGrid/>
        <w:spacing w:line="560" w:lineRule="exact"/>
        <w:ind w:firstLine="620"/>
        <w:jc w:val="both"/>
        <w:textAlignment w:val="auto"/>
        <w:rPr>
          <w:rFonts w:hint="eastAsia" w:ascii="仿宋" w:hAnsi="仿宋" w:eastAsia="仿宋" w:cs="仿宋"/>
          <w:sz w:val="32"/>
          <w:szCs w:val="32"/>
        </w:rPr>
      </w:pPr>
    </w:p>
    <w:p w14:paraId="0F6F7FA6">
      <w:pPr>
        <w:pStyle w:val="19"/>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一、企业基本情况</w:t>
      </w:r>
    </w:p>
    <w:p w14:paraId="04AEAF6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color w:val="000000" w:themeColor="text1"/>
          <w:sz w:val="32"/>
          <w:highlight w:val="none"/>
          <w:lang w:val="en-US" w:eastAsia="zh-CN"/>
          <w14:textFill>
            <w14:solidFill>
              <w14:schemeClr w14:val="tx1"/>
            </w14:solidFill>
          </w14:textFill>
        </w:rPr>
      </w:pPr>
      <w:r>
        <w:rPr>
          <w:rFonts w:hint="default" w:ascii="仿宋_GB2312" w:hAnsi="仿宋_GB2312" w:eastAsia="仿宋_GB2312" w:cs="仿宋_GB2312"/>
          <w:b w:val="0"/>
          <w:sz w:val="32"/>
          <w:highlight w:val="none"/>
          <w:lang w:val="en-US" w:eastAsia="zh-CN"/>
        </w:rPr>
        <w:t>开封</w:t>
      </w:r>
      <w:r>
        <w:rPr>
          <w:rFonts w:hint="eastAsia" w:ascii="仿宋_GB2312" w:hAnsi="仿宋_GB2312" w:eastAsia="仿宋_GB2312" w:cs="仿宋_GB2312"/>
          <w:b w:val="0"/>
          <w:sz w:val="32"/>
          <w:highlight w:val="none"/>
          <w:lang w:val="en-US" w:eastAsia="zh-CN"/>
        </w:rPr>
        <w:t>市文化旅游投资集团有限公司是于2010年</w:t>
      </w:r>
      <w:r>
        <w:rPr>
          <w:rFonts w:hint="eastAsia" w:ascii="仿宋_GB2312" w:hAnsi="仿宋_GB2312" w:eastAsia="仿宋_GB2312" w:cs="仿宋_GB2312"/>
          <w:b w:val="0"/>
          <w:sz w:val="32"/>
          <w:highlight w:val="none"/>
          <w:lang w:val="en-GB" w:eastAsia="zh-CN"/>
        </w:rPr>
        <w:t>由开封市人民政府授权开封市文物公园局出资设立的国有独资公司，</w:t>
      </w:r>
      <w:r>
        <w:rPr>
          <w:rFonts w:hint="eastAsia" w:ascii="仿宋_GB2312" w:hAnsi="仿宋_GB2312" w:eastAsia="仿宋_GB2312" w:cs="仿宋_GB2312"/>
          <w:b w:val="0"/>
          <w:sz w:val="32"/>
          <w:highlight w:val="none"/>
          <w:lang w:val="en-US" w:eastAsia="zh-CN"/>
        </w:rPr>
        <w:t>作为开封市属重要骨干企业，近年来以推进历史文化名城保护、实施</w:t>
      </w:r>
      <w:r>
        <w:rPr>
          <w:rFonts w:hint="eastAsia" w:ascii="仿宋_GB2312" w:hAnsi="仿宋_GB2312" w:eastAsia="仿宋_GB2312" w:cs="仿宋_GB2312"/>
          <w:b w:val="0"/>
          <w:sz w:val="32"/>
          <w:highlight w:val="none"/>
        </w:rPr>
        <w:t>宋都古城保护修缮工程</w:t>
      </w:r>
      <w:r>
        <w:rPr>
          <w:rFonts w:hint="eastAsia" w:ascii="仿宋_GB2312" w:hAnsi="仿宋_GB2312" w:eastAsia="仿宋_GB2312" w:cs="仿宋_GB2312"/>
          <w:b w:val="0"/>
          <w:sz w:val="32"/>
          <w:highlight w:val="none"/>
          <w:lang w:eastAsia="zh-CN"/>
        </w:rPr>
        <w:t>、</w:t>
      </w:r>
      <w:r>
        <w:rPr>
          <w:rFonts w:hint="eastAsia" w:ascii="仿宋_GB2312" w:hAnsi="仿宋_GB2312" w:eastAsia="仿宋_GB2312" w:cs="仿宋_GB2312"/>
          <w:b w:val="0"/>
          <w:sz w:val="32"/>
          <w:highlight w:val="none"/>
        </w:rPr>
        <w:t>推动文化旅游产业</w:t>
      </w:r>
      <w:r>
        <w:rPr>
          <w:rFonts w:hint="eastAsia" w:ascii="仿宋_GB2312" w:hAnsi="仿宋_GB2312" w:eastAsia="仿宋_GB2312" w:cs="仿宋_GB2312"/>
          <w:b w:val="0"/>
          <w:sz w:val="32"/>
          <w:highlight w:val="none"/>
          <w:lang w:val="en-US" w:eastAsia="zh-CN"/>
        </w:rPr>
        <w:t>融合</w:t>
      </w:r>
      <w:r>
        <w:rPr>
          <w:rFonts w:hint="eastAsia" w:ascii="仿宋_GB2312" w:hAnsi="仿宋_GB2312" w:eastAsia="仿宋_GB2312" w:cs="仿宋_GB2312"/>
          <w:b w:val="0"/>
          <w:sz w:val="32"/>
          <w:highlight w:val="none"/>
        </w:rPr>
        <w:t>发展为</w:t>
      </w:r>
      <w:r>
        <w:rPr>
          <w:rFonts w:hint="eastAsia" w:ascii="仿宋_GB2312" w:hAnsi="仿宋_GB2312" w:eastAsia="仿宋_GB2312" w:cs="仿宋_GB2312"/>
          <w:b w:val="0"/>
          <w:sz w:val="32"/>
          <w:highlight w:val="none"/>
          <w:lang w:val="en-US" w:eastAsia="zh-CN"/>
        </w:rPr>
        <w:t>方向，</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坚持有利于国有资产保值增值、有利于提高国有经济竞争力、有利于放大国有资本功能的“三个有利于”方针稳定发展。</w:t>
      </w:r>
    </w:p>
    <w:p w14:paraId="205C98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sz w:val="32"/>
          <w:highlight w:val="none"/>
          <w:lang w:val="en-US" w:eastAsia="zh-CN"/>
        </w:rPr>
      </w:pPr>
      <w:r>
        <w:rPr>
          <w:rFonts w:hint="eastAsia" w:ascii="仿宋_GB2312" w:hAnsi="仿宋_GB2312" w:eastAsia="仿宋_GB2312" w:cs="仿宋_GB2312"/>
          <w:b w:val="0"/>
          <w:sz w:val="32"/>
          <w:highlight w:val="none"/>
          <w:lang w:val="en-US" w:eastAsia="zh-CN"/>
        </w:rPr>
        <w:t>开封市文化旅游投资集团有限公司以文化产业建设、运营为功能定位，以城投类企业向产业类企业发展为转型战略，以推动宋都古城复兴为公司愿景，基本业务涵盖城市经营、文化旅游、金融服务、产权研发等四大板块。开封文投集团积极探索以金融服务建设、建设服务旅游、最终实现以经营为核心的运作模式，聚焦黄河、大运河、宋文化保护利用和传承弘扬，谋划建设运营了开封城墙景区、大宋御河景区、州桥及汴河遗址保护展示利用项目、龙亭景区、天波杨府、铁塔景区、万岁山武侠城、双龙巷历史文化街区、汴京饭店研学交流中心等一批特色文旅项目，为开封文旅产业培育新质生产力、实现高质量发展提供坚实保障。</w:t>
      </w:r>
    </w:p>
    <w:p w14:paraId="3F49B9E5">
      <w:pPr>
        <w:pStyle w:val="2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2312" w:hAnsi="方正仿宋_GB2312" w:eastAsia="方正仿宋_GB2312" w:cs="方正仿宋_GB2312"/>
          <w:color w:val="000000"/>
          <w:kern w:val="0"/>
          <w:sz w:val="32"/>
          <w:szCs w:val="32"/>
          <w:u w:val="none"/>
          <w:lang w:val="en-US" w:eastAsia="zh-CN" w:bidi="ar"/>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文投</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集团在2024年深耕文旅产业，持续打造文旅新产品，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全年文旅主业实现营收同比增长159%，全年接待游客1735万人次，同比增长105%</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较前</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年5.3亿元收入总</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和还要多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，实现了</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文旅产业收入的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大幅提升</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，为公司从城投向产投的转型提供了坚实的保障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b w:val="0"/>
          <w:sz w:val="32"/>
          <w:highlight w:val="none"/>
          <w:lang w:val="en-US" w:eastAsia="zh-CN"/>
        </w:rPr>
        <w:t>截至目前，</w:t>
      </w:r>
      <w:r>
        <w:rPr>
          <w:rFonts w:hint="eastAsia" w:ascii="仿宋_GB2312" w:hAnsi="仿宋_GB2312" w:cs="仿宋_GB2312"/>
          <w:b w:val="0"/>
          <w:sz w:val="32"/>
          <w:highlight w:val="none"/>
          <w:lang w:val="en-US" w:eastAsia="zh-CN"/>
        </w:rPr>
        <w:t>文投集团</w:t>
      </w:r>
      <w:r>
        <w:rPr>
          <w:rFonts w:hint="eastAsia" w:ascii="仿宋_GB2312" w:hAnsi="仿宋_GB2312" w:eastAsia="仿宋_GB2312" w:cs="仿宋_GB2312"/>
          <w:b w:val="0"/>
          <w:sz w:val="32"/>
          <w:highlight w:val="none"/>
          <w:lang w:val="en-US" w:eastAsia="zh-CN"/>
        </w:rPr>
        <w:t>总资产为398亿元</w:t>
      </w:r>
      <w:r>
        <w:rPr>
          <w:rFonts w:hint="eastAsia" w:ascii="方正仿宋_GB2312" w:hAnsi="方正仿宋_GB2312" w:eastAsia="方正仿宋_GB2312" w:cs="方正仿宋_GB2312"/>
          <w:color w:val="000000"/>
          <w:kern w:val="0"/>
          <w:sz w:val="32"/>
          <w:szCs w:val="32"/>
          <w:u w:val="none"/>
          <w:lang w:val="en-US" w:eastAsia="zh-CN" w:bidi="ar"/>
        </w:rPr>
        <w:t>。年内，文投集团</w:t>
      </w:r>
      <w:r>
        <w:rPr>
          <w:rFonts w:hint="eastAsia" w:ascii="仿宋_GB2312" w:hAnsi="仿宋_GB2312" w:eastAsia="仿宋_GB2312" w:cs="仿宋_GB2312"/>
          <w:color w:val="000000"/>
          <w:sz w:val="32"/>
          <w:szCs w:val="32"/>
          <w:lang w:val="en-US" w:eastAsia="zh-CN"/>
        </w:rPr>
        <w:t>荣获市管国有企业年度考核“优秀企业”，在河南省地级市政府投融资平台排行榜中名列前十。</w:t>
      </w:r>
    </w:p>
    <w:p w14:paraId="2C0893A5">
      <w:pPr>
        <w:pStyle w:val="8"/>
        <w:pageBreakBefore w:val="0"/>
        <w:widowControl w:val="0"/>
        <w:kinsoku/>
        <w:wordWrap/>
        <w:overflowPunct/>
        <w:topLinePunct w:val="0"/>
        <w:autoSpaceDE/>
        <w:autoSpaceDN/>
        <w:bidi w:val="0"/>
        <w:adjustRightInd/>
        <w:snapToGrid/>
        <w:spacing w:afterLines="0"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二、坚持正确导向、履行社会责任的制度安排和主要成效</w:t>
      </w:r>
    </w:p>
    <w:p w14:paraId="771DF28E">
      <w:pPr>
        <w:pStyle w:val="19"/>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2312" w:hAnsi="方正仿宋_GB2312" w:eastAsia="方正仿宋_GB2312" w:cs="方正仿宋_GB2312"/>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（一）</w:t>
      </w:r>
      <w:r>
        <w:rPr>
          <w:rFonts w:hint="eastAsia" w:ascii="楷体" w:hAnsi="楷体" w:eastAsia="楷体" w:cs="楷体"/>
          <w:color w:val="000000"/>
          <w:kern w:val="0"/>
          <w:sz w:val="32"/>
          <w:szCs w:val="32"/>
          <w:lang w:val="en-US" w:eastAsia="zh-CN" w:bidi="ar-SA"/>
        </w:rPr>
        <w:tab/>
      </w:r>
      <w:r>
        <w:rPr>
          <w:rFonts w:hint="eastAsia" w:ascii="楷体" w:hAnsi="楷体" w:eastAsia="楷体" w:cs="楷体"/>
          <w:color w:val="000000"/>
          <w:kern w:val="0"/>
          <w:sz w:val="32"/>
          <w:szCs w:val="32"/>
          <w:lang w:val="en-US" w:eastAsia="zh-CN" w:bidi="ar-SA"/>
        </w:rPr>
        <w:t>坚持党建引领，构建社会责任体系</w:t>
      </w:r>
    </w:p>
    <w:p w14:paraId="5DD86402">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一是提升政治理论素养</w:t>
      </w:r>
      <w:r>
        <w:rPr>
          <w:rFonts w:hint="eastAsia" w:ascii="仿宋_GB2312" w:hAnsi="仿宋_GB2312" w:eastAsia="仿宋_GB2312" w:cs="仿宋_GB2312"/>
          <w:color w:val="000000"/>
          <w:sz w:val="32"/>
          <w:szCs w:val="32"/>
          <w:lang w:val="en-US" w:eastAsia="zh-CN"/>
        </w:rPr>
        <w:t>。组织全体党员参加党的二十届三中全会精神培训班，邀请市委宣讲团专家专题讲座。主持</w:t>
      </w:r>
      <w:r>
        <w:rPr>
          <w:rFonts w:hint="eastAsia" w:ascii="仿宋_GB2312" w:hAnsi="仿宋_GB2312" w:eastAsia="仿宋_GB2312" w:cs="仿宋_GB2312"/>
          <w:color w:val="000000"/>
          <w:sz w:val="32"/>
          <w:szCs w:val="32"/>
          <w:lang w:eastAsia="zh-CN"/>
        </w:rPr>
        <w:t>党委理论中心组学习</w:t>
      </w:r>
      <w:r>
        <w:rPr>
          <w:rFonts w:hint="eastAsia" w:ascii="仿宋_GB2312" w:hAnsi="仿宋_GB2312" w:eastAsia="仿宋_GB2312" w:cs="仿宋_GB2312"/>
          <w:color w:val="000000"/>
          <w:sz w:val="32"/>
          <w:szCs w:val="32"/>
          <w:lang w:val="en-US" w:eastAsia="zh-CN"/>
        </w:rPr>
        <w:t>和</w:t>
      </w:r>
      <w:r>
        <w:rPr>
          <w:rFonts w:hint="eastAsia" w:ascii="仿宋_GB2312" w:hAnsi="仿宋_GB2312" w:eastAsia="仿宋_GB2312" w:cs="仿宋_GB2312"/>
          <w:color w:val="000000"/>
          <w:sz w:val="32"/>
          <w:szCs w:val="32"/>
          <w:lang w:eastAsia="zh-CN"/>
        </w:rPr>
        <w:t>党委会“第一议题”，学习习近平讲话精神及原文原著</w:t>
      </w:r>
      <w:r>
        <w:rPr>
          <w:rFonts w:hint="eastAsia" w:ascii="仿宋_GB2312" w:hAnsi="仿宋_GB2312" w:eastAsia="仿宋_GB2312" w:cs="仿宋_GB2312"/>
          <w:color w:val="000000"/>
          <w:sz w:val="32"/>
          <w:szCs w:val="32"/>
          <w:lang w:val="en-US" w:eastAsia="zh-CN"/>
        </w:rPr>
        <w:t>81</w:t>
      </w:r>
      <w:r>
        <w:rPr>
          <w:rFonts w:hint="eastAsia" w:ascii="仿宋_GB2312" w:hAnsi="仿宋_GB2312" w:eastAsia="仿宋_GB2312" w:cs="仿宋_GB2312"/>
          <w:color w:val="000000"/>
          <w:sz w:val="32"/>
          <w:szCs w:val="32"/>
          <w:lang w:eastAsia="zh-CN"/>
        </w:rPr>
        <w:t>篇。</w:t>
      </w:r>
      <w:r>
        <w:rPr>
          <w:rFonts w:hint="eastAsia" w:ascii="仿宋_GB2312" w:hAnsi="仿宋_GB2312" w:eastAsia="仿宋_GB2312" w:cs="仿宋_GB2312"/>
          <w:color w:val="000000"/>
          <w:sz w:val="32"/>
          <w:szCs w:val="32"/>
          <w:lang w:val="en-US" w:eastAsia="zh-CN"/>
        </w:rPr>
        <w:t>通过书记讲党课、“三会一课”、主题党日、专题研讨、参观学习等方式扎实开展党纪学习教育。市委党纪学习教育工作专班工作动态刊发了文投集团聚焦深学细悟、聚焦警示教育、聚焦学用结合的典型案例。</w:t>
      </w:r>
      <w:r>
        <w:rPr>
          <w:rFonts w:hint="eastAsia" w:ascii="仿宋_GB2312" w:hAnsi="仿宋_GB2312" w:eastAsia="仿宋_GB2312" w:cs="仿宋_GB2312"/>
          <w:b/>
          <w:bCs/>
          <w:color w:val="000000"/>
          <w:sz w:val="32"/>
          <w:szCs w:val="32"/>
          <w:lang w:val="en-US" w:eastAsia="zh-CN"/>
        </w:rPr>
        <w:t>二是贯彻落实省党代会精神。</w:t>
      </w:r>
      <w:r>
        <w:rPr>
          <w:rFonts w:hint="eastAsia" w:ascii="仿宋_GB2312" w:hAnsi="仿宋_GB2312" w:eastAsia="仿宋_GB2312" w:cs="仿宋_GB2312"/>
          <w:b w:val="0"/>
          <w:bCs w:val="0"/>
          <w:color w:val="000000"/>
          <w:sz w:val="32"/>
          <w:szCs w:val="32"/>
          <w:lang w:val="en-US" w:eastAsia="zh-CN"/>
        </w:rPr>
        <w:t>我</w:t>
      </w:r>
      <w:r>
        <w:rPr>
          <w:rFonts w:hint="eastAsia" w:ascii="仿宋_GB2312" w:hAnsi="仿宋_GB2312" w:eastAsia="仿宋_GB2312" w:cs="仿宋_GB2312"/>
          <w:b w:val="0"/>
          <w:bCs w:val="0"/>
          <w:i w:val="0"/>
          <w:iCs w:val="0"/>
          <w:color w:val="000000"/>
          <w:sz w:val="32"/>
          <w:szCs w:val="32"/>
          <w:lang w:val="en-US" w:eastAsia="zh-CN"/>
        </w:rPr>
        <w:t>认真</w:t>
      </w:r>
      <w:r>
        <w:rPr>
          <w:rFonts w:hint="eastAsia" w:ascii="仿宋_GB2312" w:hAnsi="仿宋_GB2312" w:eastAsia="仿宋_GB2312" w:cs="仿宋_GB2312"/>
          <w:b w:val="0"/>
          <w:bCs w:val="0"/>
          <w:color w:val="000000"/>
          <w:sz w:val="32"/>
          <w:szCs w:val="32"/>
          <w:lang w:val="en-US" w:eastAsia="zh-CN"/>
        </w:rPr>
        <w:t>落实省十一次党代会报告提出的“文旅文创融合战略”。在文创全产业链开发、沉浸式实景剧本娱乐产业、影视文学出版发行、城市文旅元宇宙建设产业四个重点业务方向有所突破，文投</w:t>
      </w:r>
      <w:r>
        <w:rPr>
          <w:rFonts w:hint="eastAsia" w:ascii="仿宋_GB2312" w:hAnsi="仿宋_GB2312" w:eastAsia="仿宋_GB2312" w:cs="仿宋_GB2312"/>
          <w:color w:val="000000"/>
          <w:sz w:val="32"/>
          <w:szCs w:val="32"/>
          <w:lang w:val="en-US" w:eastAsia="zh-CN"/>
        </w:rPr>
        <w:t>集团荣获全国文旅集团MBI百强品牌奖（河南省第2名），“海马祥瑞瓷器摆件”等文创产品分别获第11届中原文博会展演展示奖、创意设计奖。</w:t>
      </w:r>
      <w:r>
        <w:rPr>
          <w:rFonts w:hint="eastAsia" w:ascii="仿宋_GB2312" w:hAnsi="仿宋_GB2312" w:eastAsia="仿宋_GB2312" w:cs="仿宋_GB2312"/>
          <w:b/>
          <w:bCs/>
          <w:color w:val="000000"/>
          <w:sz w:val="32"/>
          <w:szCs w:val="32"/>
          <w:lang w:val="en-US" w:eastAsia="zh-CN"/>
        </w:rPr>
        <w:t>三是筑牢意识形态防线</w:t>
      </w:r>
      <w:r>
        <w:rPr>
          <w:rFonts w:hint="eastAsia" w:ascii="仿宋_GB2312" w:hAnsi="仿宋_GB2312" w:eastAsia="仿宋_GB2312" w:cs="仿宋_GB2312"/>
          <w:color w:val="000000"/>
          <w:sz w:val="32"/>
          <w:szCs w:val="32"/>
          <w:lang w:val="en-US" w:eastAsia="zh-CN"/>
        </w:rPr>
        <w:t>。文投集团党委坚持守正创新、勇担文化使命，大力繁荣发展文化旅游产业，聚焦营造线上线下浓厚舆论氛围，努力开创宣传思想文化工作新局面，更好满足人民群众对精神文化的需求，荣获2023年度全市网络安全和信息化工作先进集体。2024年，</w:t>
      </w:r>
      <w:r>
        <w:rPr>
          <w:rFonts w:hint="eastAsia" w:ascii="仿宋_GB2312" w:hAnsi="仿宋_GB2312" w:eastAsia="仿宋_GB2312" w:cs="仿宋_GB2312"/>
          <w:b w:val="0"/>
          <w:bCs w:val="0"/>
          <w:color w:val="000000"/>
          <w:sz w:val="32"/>
          <w:szCs w:val="32"/>
          <w:lang w:val="en-US" w:eastAsia="zh-CN"/>
        </w:rPr>
        <w:t>“宋都大庙会”“御街展新颜，一眼阅千年”“开封城墙获评国家4A级景区”等一系列重磅活动和消息，频频刷屏央媒省媒，吸引大量游客、群众关注。在重点项目建设和经营工作中，我亲自把关，建立舆情监测和通报制度，对网络舆情采取防范和控制措施，</w:t>
      </w:r>
      <w:r>
        <w:rPr>
          <w:rFonts w:hint="eastAsia" w:ascii="仿宋_GB2312" w:hAnsi="仿宋_GB2312" w:eastAsia="仿宋_GB2312" w:cs="仿宋_GB2312"/>
          <w:color w:val="000000"/>
          <w:sz w:val="32"/>
          <w:szCs w:val="32"/>
          <w:lang w:val="en-US" w:eastAsia="zh-CN"/>
        </w:rPr>
        <w:t>开展意识形态研判工作4次，</w:t>
      </w:r>
      <w:r>
        <w:rPr>
          <w:rFonts w:hint="eastAsia" w:ascii="仿宋_GB2312" w:hAnsi="仿宋_GB2312" w:eastAsia="仿宋_GB2312" w:cs="仿宋_GB2312"/>
          <w:b w:val="0"/>
          <w:bCs w:val="0"/>
          <w:color w:val="000000"/>
          <w:sz w:val="32"/>
          <w:szCs w:val="32"/>
          <w:lang w:val="en-US" w:eastAsia="zh-CN"/>
        </w:rPr>
        <w:t>年度及时防范化解网络舆情4次。</w:t>
      </w:r>
    </w:p>
    <w:p w14:paraId="500E1CB5">
      <w:pPr>
        <w:pStyle w:val="19"/>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 w:hAnsi="楷体" w:eastAsia="楷体" w:cs="楷体"/>
          <w:color w:val="000000"/>
          <w:kern w:val="0"/>
          <w:sz w:val="32"/>
          <w:szCs w:val="32"/>
          <w:lang w:val="en-US" w:eastAsia="zh-CN" w:bidi="ar-SA"/>
        </w:rPr>
      </w:pPr>
      <w:r>
        <w:rPr>
          <w:rFonts w:hint="eastAsia" w:ascii="楷体" w:hAnsi="楷体" w:eastAsia="楷体" w:cs="楷体"/>
          <w:color w:val="000000"/>
          <w:kern w:val="0"/>
          <w:sz w:val="32"/>
          <w:szCs w:val="32"/>
          <w:lang w:val="en-US" w:eastAsia="zh-CN" w:bidi="ar-SA"/>
        </w:rPr>
        <w:t>（二）加强党建业务融合，凝聚企业发展动力</w:t>
      </w:r>
    </w:p>
    <w:p w14:paraId="1BADEEC0">
      <w:pPr>
        <w:keepNext w:val="0"/>
        <w:keepLines w:val="0"/>
        <w:pageBreakBefore w:val="0"/>
        <w:widowControl w:val="0"/>
        <w:kinsoku/>
        <w:wordWrap/>
        <w:overflowPunct/>
        <w:topLinePunct w:val="0"/>
        <w:autoSpaceDE w:val="0"/>
        <w:autoSpaceDN w:val="0"/>
        <w:bidi w:val="0"/>
        <w:adjustRightInd/>
        <w:snapToGrid/>
        <w:spacing w:line="540" w:lineRule="exact"/>
        <w:ind w:firstLine="643"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一是加大基层党建投入力度</w:t>
      </w:r>
      <w:r>
        <w:rPr>
          <w:rFonts w:hint="eastAsia" w:ascii="仿宋_GB2312" w:hAnsi="仿宋_GB2312" w:eastAsia="仿宋_GB2312" w:cs="仿宋_GB2312"/>
          <w:color w:val="000000"/>
          <w:sz w:val="32"/>
          <w:szCs w:val="32"/>
          <w:lang w:val="en-US" w:eastAsia="zh-CN"/>
        </w:rPr>
        <w:t>。在双龙巷打造“红色小院”党建阵地，市委组织部联合市国资委组织开封市国有企业党建观摩团到“红色小院”参观，并在河南日报刊发相关资讯。集团职工书屋增设电子阅览系统，营造浓厚读书氛围，打造书香企业，被中华全国总工会授予“全国总工会重点建设书屋”。</w:t>
      </w:r>
      <w:r>
        <w:rPr>
          <w:rFonts w:hint="eastAsia" w:ascii="仿宋_GB2312" w:hAnsi="仿宋_GB2312" w:eastAsia="仿宋_GB2312" w:cs="仿宋_GB2312"/>
          <w:b/>
          <w:bCs/>
          <w:color w:val="000000"/>
          <w:sz w:val="32"/>
          <w:szCs w:val="32"/>
          <w:lang w:val="en-US" w:eastAsia="zh-CN"/>
        </w:rPr>
        <w:t>二是深化支部品牌建设</w:t>
      </w:r>
      <w:r>
        <w:rPr>
          <w:rFonts w:hint="eastAsia" w:ascii="仿宋_GB2312" w:hAnsi="仿宋_GB2312" w:eastAsia="仿宋_GB2312" w:cs="仿宋_GB2312"/>
          <w:color w:val="000000"/>
          <w:sz w:val="32"/>
          <w:szCs w:val="32"/>
          <w:lang w:val="en-US" w:eastAsia="zh-CN"/>
        </w:rPr>
        <w:t>。文投康桥党支部重点打造混合所有制企业“红色物业”党建品牌，打造党员先锋、红色党建、志愿服务等6大党建服务平台，为社区居民、学校、医院、办公场所等50余家签约单位提供健康舒适的工作生活环境，实际工作中，涌现出救火英雄万学军、秦向红、舍己为人王保胜、见义勇为鲁三划、情系业主金淑娟等多个在平凡岗位上鲜活杰出的发光者，受到服务单位及上级组织部门的表扬和认可，获“物业服务行业优秀企业”“优秀社会化服务单位”“河南省新服务新供给培育企业”等荣誉称号。</w:t>
      </w:r>
      <w:r>
        <w:rPr>
          <w:rFonts w:hint="eastAsia" w:ascii="仿宋_GB2312" w:hAnsi="仿宋_GB2312" w:eastAsia="仿宋_GB2312" w:cs="仿宋_GB2312"/>
          <w:b/>
          <w:bCs/>
          <w:color w:val="000000"/>
          <w:sz w:val="32"/>
          <w:szCs w:val="32"/>
          <w:lang w:val="en-US" w:eastAsia="zh-CN"/>
        </w:rPr>
        <w:t>三是党建业务深度融合</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highlight w:val="none"/>
          <w:lang w:val="en-US" w:eastAsia="zh-CN"/>
        </w:rPr>
        <w:t>在春节、五一、国节、春节等节假日，我带领党员同志深入景区、街区、酒店等经营运营一线，党员身先士卒参与项目防汛、重阳、菊花文化节等志愿服务活动500余人次，凝心聚力做好安全生产、服务群众工作，充分发扬党员模范带头作用，助力我市文化旅游事业高质量发展。</w:t>
      </w:r>
      <w:r>
        <w:rPr>
          <w:rFonts w:hint="eastAsia" w:ascii="仿宋_GB2312" w:hAnsi="仿宋_GB2312" w:eastAsia="仿宋_GB2312" w:cs="仿宋_GB2312"/>
          <w:color w:val="000000"/>
          <w:sz w:val="32"/>
          <w:szCs w:val="32"/>
          <w:lang w:val="en-US" w:eastAsia="zh-CN"/>
        </w:rPr>
        <w:t>利用主题党日每月开展“我为项目献一策”系列活动，组织党员走进项目观摩并提出意见建议100余条。曹文兵、李冠良等党员</w:t>
      </w:r>
      <w:r>
        <w:rPr>
          <w:rFonts w:hint="eastAsia" w:ascii="仿宋_GB2312" w:hAnsi="仿宋_GB2312" w:eastAsia="仿宋_GB2312" w:cs="仿宋_GB2312"/>
          <w:color w:val="000000"/>
          <w:sz w:val="32"/>
          <w:szCs w:val="32"/>
        </w:rPr>
        <w:t>有效破解</w:t>
      </w:r>
      <w:r>
        <w:rPr>
          <w:rFonts w:hint="eastAsia" w:ascii="仿宋_GB2312" w:hAnsi="仿宋_GB2312" w:eastAsia="仿宋_GB2312" w:cs="仿宋_GB2312"/>
          <w:color w:val="000000"/>
          <w:sz w:val="32"/>
          <w:szCs w:val="32"/>
          <w:lang w:val="en-US" w:eastAsia="zh-CN"/>
        </w:rPr>
        <w:t>发展</w:t>
      </w:r>
      <w:r>
        <w:rPr>
          <w:rFonts w:hint="eastAsia" w:ascii="仿宋_GB2312" w:hAnsi="仿宋_GB2312" w:eastAsia="仿宋_GB2312" w:cs="仿宋_GB2312"/>
          <w:color w:val="000000"/>
          <w:sz w:val="32"/>
          <w:szCs w:val="32"/>
        </w:rPr>
        <w:t>难题，</w:t>
      </w:r>
      <w:r>
        <w:rPr>
          <w:rFonts w:hint="eastAsia" w:ascii="仿宋_GB2312" w:hAnsi="仿宋_GB2312" w:eastAsia="仿宋_GB2312" w:cs="仿宋_GB2312"/>
          <w:color w:val="000000"/>
          <w:sz w:val="32"/>
          <w:szCs w:val="32"/>
          <w:lang w:val="en-US" w:eastAsia="zh-CN"/>
        </w:rPr>
        <w:t>所提意见建议</w:t>
      </w:r>
      <w:r>
        <w:rPr>
          <w:rFonts w:hint="eastAsia" w:ascii="仿宋_GB2312" w:hAnsi="仿宋_GB2312" w:eastAsia="仿宋_GB2312" w:cs="仿宋_GB2312"/>
          <w:color w:val="000000"/>
          <w:sz w:val="32"/>
          <w:szCs w:val="32"/>
        </w:rPr>
        <w:t>推动了重点项目顺利实施，为</w:t>
      </w:r>
      <w:r>
        <w:rPr>
          <w:rFonts w:hint="eastAsia" w:ascii="仿宋_GB2312" w:hAnsi="仿宋_GB2312" w:eastAsia="仿宋_GB2312" w:cs="仿宋_GB2312"/>
          <w:color w:val="000000"/>
          <w:sz w:val="32"/>
          <w:szCs w:val="32"/>
          <w:lang w:val="en-US" w:eastAsia="zh-CN"/>
        </w:rPr>
        <w:t>公司</w:t>
      </w:r>
      <w:r>
        <w:rPr>
          <w:rFonts w:hint="eastAsia" w:ascii="仿宋_GB2312" w:hAnsi="仿宋_GB2312" w:eastAsia="仿宋_GB2312" w:cs="仿宋_GB2312"/>
          <w:color w:val="000000"/>
          <w:sz w:val="32"/>
          <w:szCs w:val="32"/>
        </w:rPr>
        <w:t>发展</w:t>
      </w:r>
      <w:r>
        <w:rPr>
          <w:rFonts w:hint="eastAsia" w:ascii="仿宋_GB2312" w:hAnsi="仿宋_GB2312" w:eastAsia="仿宋_GB2312" w:cs="仿宋_GB2312"/>
          <w:color w:val="000000"/>
          <w:sz w:val="32"/>
          <w:szCs w:val="32"/>
          <w:lang w:val="en-US" w:eastAsia="zh-CN"/>
        </w:rPr>
        <w:t>增添</w:t>
      </w:r>
      <w:r>
        <w:rPr>
          <w:rFonts w:hint="eastAsia" w:ascii="仿宋_GB2312" w:hAnsi="仿宋_GB2312" w:eastAsia="仿宋_GB2312" w:cs="仿宋_GB2312"/>
          <w:color w:val="000000"/>
          <w:sz w:val="32"/>
          <w:szCs w:val="32"/>
        </w:rPr>
        <w:t>新</w:t>
      </w:r>
      <w:r>
        <w:rPr>
          <w:rFonts w:hint="eastAsia" w:ascii="仿宋_GB2312" w:hAnsi="仿宋_GB2312" w:eastAsia="仿宋_GB2312" w:cs="仿宋_GB2312"/>
          <w:color w:val="000000"/>
          <w:sz w:val="32"/>
          <w:szCs w:val="32"/>
          <w:lang w:val="en-US" w:eastAsia="zh-CN"/>
        </w:rPr>
        <w:t>活</w:t>
      </w:r>
      <w:r>
        <w:rPr>
          <w:rFonts w:hint="eastAsia" w:ascii="仿宋_GB2312" w:hAnsi="仿宋_GB2312" w:eastAsia="仿宋_GB2312" w:cs="仿宋_GB2312"/>
          <w:color w:val="000000"/>
          <w:sz w:val="32"/>
          <w:szCs w:val="32"/>
        </w:rPr>
        <w:t>力。</w:t>
      </w:r>
    </w:p>
    <w:p w14:paraId="4DFEC420">
      <w:pPr>
        <w:keepNext w:val="0"/>
        <w:keepLines w:val="0"/>
        <w:pageBreakBefore w:val="0"/>
        <w:widowControl w:val="0"/>
        <w:numPr>
          <w:ilvl w:val="0"/>
          <w:numId w:val="0"/>
        </w:numPr>
        <w:kinsoku/>
        <w:wordWrap/>
        <w:overflowPunct/>
        <w:topLinePunct w:val="0"/>
        <w:bidi w:val="0"/>
        <w:adjustRightInd/>
        <w:snapToGrid/>
        <w:spacing w:line="540" w:lineRule="exact"/>
        <w:ind w:firstLine="640" w:firstLineChars="200"/>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（三）发挥基层党组织战斗堡垒作用和党员先锋模范作用</w:t>
      </w:r>
    </w:p>
    <w:p w14:paraId="629B4D6D">
      <w:pPr>
        <w:keepNext w:val="0"/>
        <w:keepLines w:val="0"/>
        <w:pageBreakBefore w:val="0"/>
        <w:widowControl w:val="0"/>
        <w:kinsoku/>
        <w:wordWrap/>
        <w:overflowPunct/>
        <w:topLinePunct w:val="0"/>
        <w:bidi w:val="0"/>
        <w:adjustRightInd/>
        <w:snapToGrid/>
        <w:spacing w:line="540" w:lineRule="exact"/>
        <w:ind w:firstLine="643"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一是积极创建“五星支部”</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3个支部进行了换届选举，确定入党积极分子4名，发展对象8名，接收预备党员4名，预备党员转正3名。</w:t>
      </w:r>
      <w:r>
        <w:rPr>
          <w:rFonts w:hint="eastAsia" w:ascii="仿宋_GB2312" w:hAnsi="仿宋_GB2312" w:eastAsia="仿宋_GB2312" w:cs="仿宋_GB2312"/>
          <w:color w:val="000000"/>
          <w:sz w:val="32"/>
          <w:szCs w:val="32"/>
        </w:rPr>
        <w:t>“七一”表彰“两优一先”15名</w:t>
      </w:r>
      <w:r>
        <w:rPr>
          <w:rFonts w:hint="eastAsia" w:ascii="仿宋_GB2312" w:hAnsi="仿宋_GB2312" w:eastAsia="仿宋_GB2312" w:cs="仿宋_GB2312"/>
          <w:color w:val="000000"/>
          <w:sz w:val="32"/>
          <w:szCs w:val="32"/>
          <w:lang w:val="en-US" w:eastAsia="zh-CN"/>
        </w:rPr>
        <w:t>优秀</w:t>
      </w:r>
      <w:r>
        <w:rPr>
          <w:rFonts w:hint="eastAsia" w:ascii="仿宋_GB2312" w:hAnsi="仿宋_GB2312" w:eastAsia="仿宋_GB2312" w:cs="仿宋_GB2312"/>
          <w:color w:val="000000"/>
          <w:sz w:val="32"/>
          <w:szCs w:val="32"/>
        </w:rPr>
        <w:t>党员和</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个优秀党支部。</w:t>
      </w:r>
      <w:r>
        <w:rPr>
          <w:rFonts w:hint="eastAsia" w:ascii="仿宋_GB2312" w:hAnsi="仿宋_GB2312" w:eastAsia="仿宋_GB2312" w:cs="仿宋_GB2312"/>
          <w:color w:val="000000"/>
          <w:sz w:val="32"/>
          <w:szCs w:val="32"/>
          <w:lang w:val="en-US" w:eastAsia="zh-CN"/>
        </w:rPr>
        <w:t>积极助力乡村振兴，向东租良村捐赠更换太阳能路灯，改善夜间照明条件，提升村民生活质量。</w:t>
      </w:r>
      <w:r>
        <w:rPr>
          <w:rFonts w:hint="eastAsia" w:ascii="仿宋_GB2312" w:hAnsi="仿宋_GB2312" w:eastAsia="仿宋_GB2312" w:cs="仿宋_GB2312"/>
          <w:b/>
          <w:bCs/>
          <w:color w:val="000000"/>
          <w:sz w:val="32"/>
          <w:szCs w:val="32"/>
          <w:lang w:val="en-US" w:eastAsia="zh-CN"/>
        </w:rPr>
        <w:t>二是加强党员教育培训</w:t>
      </w:r>
      <w:r>
        <w:rPr>
          <w:rFonts w:hint="eastAsia" w:ascii="仿宋_GB2312" w:hAnsi="仿宋_GB2312" w:eastAsia="仿宋_GB2312" w:cs="仿宋_GB2312"/>
          <w:color w:val="000000"/>
          <w:sz w:val="32"/>
          <w:szCs w:val="32"/>
          <w:lang w:val="en-US" w:eastAsia="zh-CN"/>
        </w:rPr>
        <w:t>。组织党务工作者培训、意识形态工作培训，参加市国资系统爱国主义教育研习班</w:t>
      </w:r>
      <w:r>
        <w:rPr>
          <w:rFonts w:hint="eastAsia" w:ascii="仿宋_GB2312" w:hAnsi="仿宋_GB2312" w:eastAsia="仿宋_GB2312" w:cs="仿宋_GB2312"/>
          <w:color w:val="000000"/>
          <w:sz w:val="32"/>
          <w:szCs w:val="32"/>
          <w:lang w:eastAsia="zh-CN"/>
        </w:rPr>
        <w:t>等</w:t>
      </w:r>
      <w:r>
        <w:rPr>
          <w:rFonts w:hint="eastAsia" w:ascii="仿宋_GB2312" w:hAnsi="仿宋_GB2312" w:eastAsia="仿宋_GB2312" w:cs="仿宋_GB2312"/>
          <w:color w:val="000000"/>
          <w:sz w:val="32"/>
          <w:szCs w:val="32"/>
          <w:lang w:val="en-US" w:eastAsia="zh-CN"/>
        </w:rPr>
        <w:t>各类</w:t>
      </w:r>
      <w:r>
        <w:rPr>
          <w:rFonts w:hint="eastAsia" w:ascii="仿宋_GB2312" w:hAnsi="仿宋_GB2312" w:eastAsia="仿宋_GB2312" w:cs="仿宋_GB2312"/>
          <w:color w:val="000000"/>
          <w:sz w:val="32"/>
          <w:szCs w:val="32"/>
          <w:lang w:eastAsia="zh-CN"/>
        </w:rPr>
        <w:t>培训</w:t>
      </w:r>
      <w:r>
        <w:rPr>
          <w:rFonts w:hint="eastAsia" w:ascii="仿宋_GB2312" w:hAnsi="仿宋_GB2312" w:eastAsia="仿宋_GB2312" w:cs="仿宋_GB2312"/>
          <w:color w:val="000000"/>
          <w:sz w:val="32"/>
          <w:szCs w:val="32"/>
          <w:lang w:val="en-US" w:eastAsia="zh-CN"/>
        </w:rPr>
        <w:t>6期</w:t>
      </w:r>
      <w:r>
        <w:rPr>
          <w:rFonts w:hint="eastAsia" w:ascii="仿宋_GB2312" w:hAnsi="仿宋_GB2312" w:eastAsia="仿宋_GB2312" w:cs="仿宋_GB2312"/>
          <w:color w:val="000000"/>
          <w:sz w:val="32"/>
          <w:szCs w:val="32"/>
          <w:lang w:eastAsia="zh-CN"/>
        </w:rPr>
        <w:t>。参加省党纪学习教育网络培训，参训和结业率达100%。</w:t>
      </w:r>
      <w:r>
        <w:rPr>
          <w:rFonts w:hint="eastAsia" w:ascii="仿宋_GB2312" w:hAnsi="仿宋_GB2312" w:eastAsia="仿宋_GB2312" w:cs="仿宋_GB2312"/>
          <w:color w:val="000000"/>
          <w:sz w:val="32"/>
          <w:szCs w:val="32"/>
          <w:lang w:val="en-US" w:eastAsia="zh-CN"/>
        </w:rPr>
        <w:t>组织观看开封市沉浸式案例《纪律》和《传承——做焦裕禄式最美奋斗者》，党员同志接受精神洗礼。</w:t>
      </w:r>
      <w:r>
        <w:rPr>
          <w:rFonts w:hint="eastAsia" w:ascii="仿宋_GB2312" w:hAnsi="仿宋_GB2312" w:eastAsia="仿宋_GB2312" w:cs="仿宋_GB2312"/>
          <w:b/>
          <w:bCs/>
          <w:color w:val="000000"/>
          <w:sz w:val="32"/>
          <w:szCs w:val="32"/>
          <w:lang w:eastAsia="zh-CN"/>
        </w:rPr>
        <w:t>三</w:t>
      </w:r>
      <w:r>
        <w:rPr>
          <w:rFonts w:hint="eastAsia" w:ascii="仿宋_GB2312" w:hAnsi="仿宋_GB2312" w:eastAsia="仿宋_GB2312" w:cs="仿宋_GB2312"/>
          <w:b/>
          <w:bCs/>
          <w:color w:val="000000"/>
          <w:sz w:val="32"/>
          <w:szCs w:val="32"/>
          <w:lang w:val="en-US" w:eastAsia="zh-CN"/>
        </w:rPr>
        <w:t>是履行社会责任</w:t>
      </w:r>
      <w:r>
        <w:rPr>
          <w:rFonts w:hint="eastAsia" w:ascii="仿宋_GB2312" w:hAnsi="仿宋_GB2312" w:eastAsia="仿宋_GB2312" w:cs="仿宋_GB2312"/>
          <w:color w:val="000000"/>
          <w:sz w:val="32"/>
          <w:szCs w:val="32"/>
          <w:lang w:val="en-US" w:eastAsia="zh-CN"/>
        </w:rPr>
        <w:t>。实施宋都御街改造提升、龙亭湖生态修复及景观提升工程等重点民生项目，荣获开封市“城市更新工作表现突出单位”称号，960文创园和州桥项目规划建设获中国建设报《河南开封历史文化保护传承纪实》推广。重装打造以“宋韵开封·菊香中国”为主题的中国开封第42届菊花文化节，为市民游客市民带来沉浸式文化盛宴，混改企业万岁山公司获“市场化经营优秀企业”称号。立足开封历史文化特色资源打造文投研学品牌化建设，下属开封文投教育公司与开封文化艺术职业学院合编课程，荣获“河南省研学实践教育精品课程”称号。文投集团积极履行社会责任，展现国企担当，再次荣获“2023河南社会责任企业”荣誉。</w:t>
      </w:r>
    </w:p>
    <w:p w14:paraId="66E1CA13">
      <w:pPr>
        <w:pStyle w:val="19"/>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 w:hAnsi="楷体" w:eastAsia="楷体" w:cs="楷体"/>
          <w:i w:val="0"/>
          <w:caps w:val="0"/>
          <w:color w:val="000000"/>
          <w:spacing w:val="0"/>
          <w:sz w:val="32"/>
          <w:szCs w:val="32"/>
          <w:shd w:val="clear" w:fill="FFFFFF"/>
          <w:lang w:val="en-US"/>
        </w:rPr>
      </w:pPr>
      <w:r>
        <w:rPr>
          <w:rFonts w:hint="eastAsia" w:ascii="楷体" w:hAnsi="楷体" w:eastAsia="楷体" w:cs="楷体"/>
          <w:color w:val="000000"/>
          <w:kern w:val="0"/>
          <w:sz w:val="32"/>
          <w:szCs w:val="32"/>
          <w:lang w:val="en-US" w:eastAsia="zh-CN" w:bidi="ar-SA"/>
        </w:rPr>
        <w:t>（四）强化宣传工作，正确引导社会舆论</w:t>
      </w:r>
    </w:p>
    <w:p w14:paraId="52C57572">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60" w:lineRule="exact"/>
        <w:ind w:firstLine="643"/>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2024年，文投集团及下属景区的抖音、微信公众平台（视频号）平台账号粉丝数量持续增长，2024年新媒体平台粉丝数量同比增长178%，累计粉丝量达21.3万＋；全年发布视频共计632条，总计浏览量1000.9万＋。2024年度发布微信公众号文章共约1022篇，累计阅读量30.7万＋。同时认真做好公司门户网站和OA办公系统的维护和更新工作。</w:t>
      </w:r>
      <w:r>
        <w:rPr>
          <w:rFonts w:hint="eastAsia" w:ascii="仿宋_GB2312" w:hAnsi="仿宋_GB2312" w:eastAsia="仿宋_GB2312" w:cs="仿宋_GB2312"/>
          <w:b/>
          <w:bCs/>
          <w:sz w:val="32"/>
          <w:szCs w:val="32"/>
          <w:lang w:val="en-US" w:eastAsia="zh-CN"/>
        </w:rPr>
        <w:t>一是巩固壮大主流思想舆论</w:t>
      </w:r>
      <w:r>
        <w:rPr>
          <w:rFonts w:hint="eastAsia" w:ascii="仿宋_GB2312" w:hAnsi="仿宋_GB2312" w:eastAsia="仿宋_GB2312" w:cs="仿宋_GB2312"/>
          <w:sz w:val="32"/>
          <w:szCs w:val="32"/>
          <w:lang w:val="en-US" w:eastAsia="zh-CN"/>
        </w:rPr>
        <w:t>。紧跟时事热点和流行趋势策划一系列热门话题活动，如“菊花文化节”“宋都御街提升改造项目”“龙亭湖生态修复及景观提升工程”、“开封礼物”等。旗下景区先后荣登《新闻联播》《朝闻天下》《文化十分》《消费主张》等央视电视新闻和专题栏目、总台“中国之声”等央媒广播平台、新华社、中新社等央媒通讯社等央媒平台。</w:t>
      </w:r>
      <w:r>
        <w:rPr>
          <w:rFonts w:hint="eastAsia" w:ascii="仿宋_GB2312" w:hAnsi="仿宋_GB2312" w:eastAsia="仿宋_GB2312" w:cs="仿宋_GB2312"/>
          <w:b/>
          <w:bCs/>
          <w:sz w:val="32"/>
          <w:szCs w:val="32"/>
          <w:lang w:val="en-US" w:eastAsia="zh-CN"/>
        </w:rPr>
        <w:t>二是以文化人激发工作活力。</w:t>
      </w:r>
      <w:r>
        <w:rPr>
          <w:rFonts w:hint="eastAsia" w:ascii="仿宋_GB2312" w:hAnsi="仿宋_GB2312" w:eastAsia="仿宋_GB2312" w:cs="仿宋_GB2312"/>
          <w:b w:val="0"/>
          <w:bCs w:val="0"/>
          <w:sz w:val="32"/>
          <w:szCs w:val="32"/>
          <w:lang w:val="en-US" w:eastAsia="zh-CN"/>
        </w:rPr>
        <w:t>高质量建设职工书屋，荣获“全国总工会重点建设书屋”荣誉。开展“传承红色精神 厚植爱国情怀”英烈故事宣讲、“红色七月 文投传承”建党节活动。开展医疗科普大讲堂、急救知识宣讲、专家义诊等“关爱职工健康”系列活动。慰问困难职工，参与“乡村振兴、豫善同行”募捐活动。开展“榜样的力量”等企业文化活动。</w:t>
      </w:r>
    </w:p>
    <w:p w14:paraId="791C6F51">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三、立足主责主业完成社会责任工作等情况</w:t>
      </w:r>
    </w:p>
    <w:p w14:paraId="58F458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bCs/>
          <w:color w:val="000000" w:themeColor="text1"/>
          <w:sz w:val="32"/>
          <w:szCs w:val="32"/>
          <w:highlight w:val="none"/>
          <w:lang w:val="en-US" w:eastAsia="zh-CN"/>
          <w14:textFill>
            <w14:solidFill>
              <w14:schemeClr w14:val="tx1"/>
            </w14:solidFill>
          </w14:textFill>
        </w:rPr>
      </w:pPr>
      <w:r>
        <w:rPr>
          <w:rFonts w:hint="eastAsia" w:ascii="方正仿宋_GB2312" w:hAnsi="方正仿宋_GB2312" w:eastAsia="方正仿宋_GB2312" w:cs="方正仿宋_GB2312"/>
          <w:sz w:val="32"/>
          <w:szCs w:val="32"/>
          <w:lang w:val="en-US" w:eastAsia="zh-CN"/>
        </w:rPr>
        <w:t xml:space="preserve"> </w:t>
      </w:r>
      <w:r>
        <w:rPr>
          <w:rFonts w:hint="eastAsia" w:ascii="楷体" w:hAnsi="楷体" w:eastAsia="楷体" w:cs="楷体"/>
          <w:b/>
          <w:bCs/>
          <w:color w:val="000000" w:themeColor="text1"/>
          <w:sz w:val="32"/>
          <w:szCs w:val="32"/>
          <w:highlight w:val="none"/>
          <w:lang w:val="en-US" w:eastAsia="zh-CN"/>
          <w14:textFill>
            <w14:solidFill>
              <w14:schemeClr w14:val="tx1"/>
            </w14:solidFill>
          </w14:textFill>
        </w:rPr>
        <w:t>（一）文化旅游板块</w:t>
      </w:r>
    </w:p>
    <w:p w14:paraId="4FDF5C65">
      <w:pPr>
        <w:pStyle w:val="2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文投</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集团在2024年深耕文旅产业，持续打造文旅新产品，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全年文旅主业营收同比增长159%，全年接待游客1735万人次，同比增长105%。较前</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年收入总</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和还要多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，实现了</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文旅产业收入的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大幅提升</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，为公司从城投向产投的转型提供了坚实的保障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p>
    <w:p w14:paraId="0F7DFA5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万岁山景区</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多次</w:t>
      </w: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rPr>
        <w:t>荣登全国网络热门打卡榜前列，“王婆说媒”成为国内顶流现象级节目，受到国内顶级媒体赞扬；新开放的仙侠区受到广大游客的追捧，全年接待游客830多万人，成为全市文旅的流量中心。</w:t>
      </w: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龙亭</w:t>
      </w:r>
      <w:r>
        <w:rPr>
          <w:rFonts w:hint="default" w:ascii="Times New Roman" w:hAnsi="Times New Roman" w:eastAsia="仿宋_GB2312" w:cs="Times New Roman"/>
          <w:b/>
          <w:bCs/>
          <w:color w:val="000000" w:themeColor="text1"/>
          <w:kern w:val="2"/>
          <w:sz w:val="32"/>
          <w:szCs w:val="32"/>
          <w:highlight w:val="none"/>
          <w:lang w:val="en-US" w:eastAsia="zh-CN" w:bidi="ar-SA"/>
          <w14:textFill>
            <w14:solidFill>
              <w14:schemeClr w14:val="tx1"/>
            </w14:solidFill>
          </w14:textFill>
        </w:rPr>
        <w:t>景区</w:t>
      </w:r>
      <w:r>
        <w:rPr>
          <w:rFonts w:hint="eastAsia"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以第42届菊花文化节、上元灯会为契机全面提升</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基础设施</w:t>
      </w:r>
      <w:r>
        <w:rPr>
          <w:rFonts w:hint="eastAsia"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夜游亮化、运营产品</w:t>
      </w:r>
      <w:r>
        <w:rPr>
          <w:rFonts w:hint="eastAsia"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，文投接管后实现了安全、平稳运行，业绩稳步增长。</w:t>
      </w: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城墙景区</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成功获批国家4A级旅游景区；</w:t>
      </w:r>
      <w:r>
        <w:rPr>
          <w:rFonts w:hint="default"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铁塔景区</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不断深</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入</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谋划禅韵宋意，融合铁塔精神，讲述千年铁塔故事</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，成为开封政务接待的一张名片</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天波杨府景区</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以爱国忠烈文化为根本，着重打造“杨家将”IP文化及实景剧目，单场剧目观看人数近千人；</w:t>
      </w: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禹王台公园及汴京公园</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开展惠民赏花、动物娱乐等活动，丰富了市民娱乐生活；</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大宋御河</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在上元灯会期间推出“水上河灯、放逐心愿”活动受到大批游客打卡；</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宋都御街</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经过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基础设施全面升级，多场宋式演艺活动吸引大批游客，10月18日开街后，日均人流量突破5万人次。</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酒店板块</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推进“豫菜复兴、宋宴推广”工程，打造潮流宋宴，成功推出“汴梁八景宴”，</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龙嬉亲子酒店荣获“2024年度心选高档酒店”，</w:t>
      </w:r>
      <w:r>
        <w:rPr>
          <w:rFonts w:hint="default" w:ascii="Times New Roman" w:hAnsi="Times New Roman" w:eastAsia="仿宋" w:cs="Times New Roman"/>
          <w:color w:val="000000" w:themeColor="text1"/>
          <w:sz w:val="32"/>
          <w:szCs w:val="32"/>
          <w:shd w:val="clear" w:color="auto" w:fill="FFFFFF"/>
          <w:lang w:val="en-US" w:eastAsia="zh-CN"/>
          <w14:textFill>
            <w14:solidFill>
              <w14:schemeClr w14:val="tx1"/>
            </w14:solidFill>
          </w14:textFill>
        </w:rPr>
        <w:t>一桐酒店、</w:t>
      </w:r>
      <w:r>
        <w:rPr>
          <w:rFonts w:hint="default" w:ascii="Times New Roman" w:hAnsi="Times New Roman" w:eastAsia="仿宋" w:cs="Times New Roman"/>
          <w:b w:val="0"/>
          <w:bCs/>
          <w:color w:val="000000" w:themeColor="text1"/>
          <w:sz w:val="32"/>
          <w:szCs w:val="32"/>
          <w:lang w:val="en-US" w:eastAsia="zh-CN"/>
          <w14:textFill>
            <w14:solidFill>
              <w14:schemeClr w14:val="tx1"/>
            </w14:solidFill>
          </w14:textFill>
        </w:rPr>
        <w:t>宋潮·文味豫宴</w:t>
      </w:r>
      <w:r>
        <w:rPr>
          <w:rFonts w:hint="eastAsia" w:ascii="Times New Roman" w:hAnsi="Times New Roman" w:eastAsia="仿宋" w:cs="Times New Roman"/>
          <w:b w:val="0"/>
          <w:bCs/>
          <w:color w:val="000000" w:themeColor="text1"/>
          <w:sz w:val="32"/>
          <w:szCs w:val="32"/>
          <w:lang w:val="en-US" w:eastAsia="zh-CN"/>
          <w14:textFill>
            <w14:solidFill>
              <w14:schemeClr w14:val="tx1"/>
            </w14:solidFill>
          </w14:textFill>
        </w:rPr>
        <w:t>被授予</w:t>
      </w:r>
      <w:r>
        <w:rPr>
          <w:rFonts w:hint="default" w:ascii="Times New Roman" w:hAnsi="Times New Roman" w:eastAsia="仿宋" w:cs="Times New Roman"/>
          <w:color w:val="000000" w:themeColor="text1"/>
          <w:sz w:val="32"/>
          <w:szCs w:val="32"/>
          <w:shd w:val="clear" w:color="auto" w:fill="FFFFFF"/>
          <w:lang w:val="en-US" w:eastAsia="zh-CN"/>
          <w14:textFill>
            <w14:solidFill>
              <w14:schemeClr w14:val="tx1"/>
            </w14:solidFill>
          </w14:textFill>
        </w:rPr>
        <w:t xml:space="preserve"> “一城双宴定点餐厅”荣誉称号</w:t>
      </w:r>
      <w:r>
        <w:rPr>
          <w:rFonts w:hint="eastAsia" w:ascii="仿宋_GB2312" w:hAnsi="仿宋_GB2312" w:eastAsia="仿宋_GB2312" w:cs="仿宋_GB2312"/>
          <w:color w:val="000000" w:themeColor="text1"/>
          <w:sz w:val="32"/>
          <w:szCs w:val="32"/>
          <w:highlight w:val="none"/>
          <w:shd w:val="clear" w:color="auto" w:fill="FFFFFF"/>
          <w:lang w:val="en-US" w:eastAsia="zh-CN"/>
          <w14:textFill>
            <w14:solidFill>
              <w14:schemeClr w14:val="tx1"/>
            </w14:solidFill>
          </w14:textFill>
        </w:rPr>
        <w:t>；</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研学板块</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2024年实现收入、利润同比分别增长171%和180%，</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着力做好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文投研学品牌化建设，与开封文化艺术职业学院合编课程，荣获“河南省研学实践教育精品课程”称号。</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街区板块</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960街区强力推进清商、招商，引进国内著名品牌开展合作；文化客厅积极谋划打造菊花文化馆，方案设计基本完成，将为开封菊城再添靓丽新名片。</w:t>
      </w:r>
    </w:p>
    <w:p w14:paraId="01B33632">
      <w:pPr>
        <w:pStyle w:val="21"/>
        <w:keepNext w:val="0"/>
        <w:keepLines w:val="0"/>
        <w:pageBreakBefore w:val="0"/>
        <w:widowControl/>
        <w:numPr>
          <w:ilvl w:val="0"/>
          <w:numId w:val="0"/>
        </w:numPr>
        <w:kinsoku/>
        <w:wordWrap/>
        <w:overflowPunct/>
        <w:topLinePunct w:val="0"/>
        <w:bidi w:val="0"/>
        <w:snapToGrid/>
        <w:spacing w:line="560" w:lineRule="exact"/>
        <w:ind w:left="630" w:leftChars="0" w:right="0" w:rightChars="0"/>
        <w:jc w:val="both"/>
        <w:textAlignment w:val="auto"/>
        <w:rPr>
          <w:rFonts w:hint="eastAsia" w:ascii="楷体" w:hAnsi="楷体" w:eastAsia="楷体" w:cs="楷体"/>
          <w:b/>
          <w:bCs/>
          <w:color w:val="000000" w:themeColor="text1"/>
          <w:sz w:val="32"/>
          <w:szCs w:val="32"/>
          <w:highlight w:val="none"/>
          <w:lang w:val="en-US" w:eastAsia="zh-CN"/>
          <w14:textFill>
            <w14:solidFill>
              <w14:schemeClr w14:val="tx1"/>
            </w14:solidFill>
          </w14:textFill>
        </w:rPr>
      </w:pPr>
      <w:r>
        <w:rPr>
          <w:rFonts w:hint="eastAsia" w:ascii="楷体" w:hAnsi="楷体" w:eastAsia="楷体" w:cs="楷体"/>
          <w:b/>
          <w:bCs/>
          <w:color w:val="000000" w:themeColor="text1"/>
          <w:sz w:val="32"/>
          <w:szCs w:val="32"/>
          <w:highlight w:val="none"/>
          <w:lang w:val="en-US" w:eastAsia="zh-CN"/>
          <w14:textFill>
            <w14:solidFill>
              <w14:schemeClr w14:val="tx1"/>
            </w14:solidFill>
          </w14:textFill>
        </w:rPr>
        <w:t>（二）产权研发板块</w:t>
      </w:r>
    </w:p>
    <w:p w14:paraId="288C64B2">
      <w:pPr>
        <w:pStyle w:val="21"/>
        <w:keepNext w:val="0"/>
        <w:keepLines w:val="0"/>
        <w:pageBreakBefore w:val="0"/>
        <w:widowControl/>
        <w:numPr>
          <w:ilvl w:val="0"/>
          <w:numId w:val="0"/>
        </w:numPr>
        <w:kinsoku/>
        <w:wordWrap/>
        <w:overflowPunct/>
        <w:topLinePunct w:val="0"/>
        <w:bidi w:val="0"/>
        <w:snapToGrid/>
        <w:spacing w:line="560" w:lineRule="exact"/>
        <w:ind w:right="0" w:rightChars="0" w:firstLine="640" w:firstLineChars="200"/>
        <w:jc w:val="both"/>
        <w:textAlignment w:val="auto"/>
        <w:rPr>
          <w:rFonts w:hint="eastAsia" w:ascii="仿宋_GB2312" w:hAnsi="仿宋_GB2312" w:eastAsia="仿宋_GB2312" w:cs="仿宋_GB2312"/>
          <w:b/>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2024年，集团在</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文创全产业链开发、沉浸式实景剧本娱乐产业、影视文学出版发行、城市文旅元宇宙建设产业</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四个重点业务方向上有所突破，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荣获全国文旅集团MBI百强品牌奖（河南省第2名），“海马祥瑞瓷器摆件”等文创产品分别获第11届中原文博会展演展示奖、创意设计奖。</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2024年</w:t>
      </w:r>
      <w:r>
        <w:rPr>
          <w:rFonts w:hint="default"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启动了</w:t>
      </w:r>
      <w:r>
        <w:rPr>
          <w:rFonts w:hint="default" w:ascii="Times New Roman" w:hAnsi="Times New Roman" w:eastAsia="仿宋" w:cs="Times New Roman"/>
          <w:b/>
          <w:bCs w:val="0"/>
          <w:color w:val="000000" w:themeColor="text1"/>
          <w:sz w:val="32"/>
          <w:szCs w:val="32"/>
          <w:highlight w:val="none"/>
          <w:lang w:eastAsia="zh-CN"/>
          <w14:textFill>
            <w14:solidFill>
              <w14:schemeClr w14:val="tx1"/>
            </w14:solidFill>
          </w14:textFill>
        </w:rPr>
        <w:t>“宋潮世界”</w:t>
      </w:r>
      <w:r>
        <w:rPr>
          <w:rFonts w:hint="default" w:ascii="Times New Roman" w:hAnsi="Times New Roman" w:eastAsia="仿宋" w:cs="Times New Roman"/>
          <w:b w:val="0"/>
          <w:bCs/>
          <w:color w:val="000000" w:themeColor="text1"/>
          <w:sz w:val="32"/>
          <w:szCs w:val="32"/>
          <w:highlight w:val="none"/>
          <w:lang w:eastAsia="zh-CN"/>
          <w14:textFill>
            <w14:solidFill>
              <w14:schemeClr w14:val="tx1"/>
            </w14:solidFill>
          </w14:textFill>
        </w:rPr>
        <w:t>虚实共生沉浸式LARP小程序项目，</w:t>
      </w:r>
      <w:r>
        <w:rPr>
          <w:rFonts w:hint="eastAsia" w:ascii="Times New Roman" w:eastAsia="仿宋" w:cs="Times New Roman"/>
          <w:b w:val="0"/>
          <w:bCs/>
          <w:color w:val="000000" w:themeColor="text1"/>
          <w:sz w:val="32"/>
          <w:szCs w:val="32"/>
          <w:highlight w:val="none"/>
          <w:lang w:val="en-US" w:eastAsia="zh-CN"/>
          <w14:textFill>
            <w14:solidFill>
              <w14:schemeClr w14:val="tx1"/>
            </w14:solidFill>
          </w14:textFill>
        </w:rPr>
        <w:t>成功</w:t>
      </w:r>
      <w:r>
        <w:rPr>
          <w:rFonts w:hint="default" w:ascii="Times New Roman" w:hAnsi="Times New Roman" w:eastAsia="仿宋" w:cs="Times New Roman"/>
          <w:bCs/>
          <w:color w:val="000000" w:themeColor="text1"/>
          <w:sz w:val="32"/>
          <w:szCs w:val="32"/>
          <w:highlight w:val="none"/>
          <w:lang w:eastAsia="zh-CN"/>
          <w14:textFill>
            <w14:solidFill>
              <w14:schemeClr w14:val="tx1"/>
            </w14:solidFill>
          </w14:textFill>
        </w:rPr>
        <w:t>取得5项商标注册、4项软件著作权</w:t>
      </w:r>
      <w:r>
        <w:rPr>
          <w:rFonts w:hint="eastAsia" w:ascii="Times New Roman" w:hAnsi="Times New Roman" w:eastAsia="仿宋" w:cs="Times New Roman"/>
          <w:bCs/>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推出了</w:t>
      </w:r>
      <w:r>
        <w:rPr>
          <w:rFonts w:hint="default" w:ascii="Times New Roman" w:hAnsi="Times New Roman" w:eastAsia="仿宋_GB2312" w:cs="Times New Roman"/>
          <w:b/>
          <w:bCs/>
          <w:color w:val="000000" w:themeColor="text1"/>
          <w:kern w:val="2"/>
          <w:sz w:val="32"/>
          <w:szCs w:val="32"/>
          <w:highlight w:val="none"/>
          <w:lang w:val="en-US" w:eastAsia="zh-CN" w:bidi="ar-SA"/>
          <w14:textFill>
            <w14:solidFill>
              <w14:schemeClr w14:val="tx1"/>
            </w14:solidFill>
          </w14:textFill>
        </w:rPr>
        <w:t>“官家饮子”</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宋式饮品，受到大批年轻人“</w:t>
      </w:r>
      <w:r>
        <w:rPr>
          <w:rFonts w:hint="eastAsia" w:asci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买</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单”</w:t>
      </w:r>
      <w:r>
        <w:rPr>
          <w:rFonts w:hint="eastAsia" w:asci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重点</w:t>
      </w:r>
      <w:r>
        <w:rPr>
          <w:rFonts w:hint="eastAsia" w:ascii="仿宋_GB2312" w:hAnsi="仿宋_GB2312" w:eastAsia="仿宋_GB2312" w:cs="仿宋_GB2312"/>
          <w:color w:val="000000" w:themeColor="text1"/>
          <w:sz w:val="32"/>
          <w:szCs w:val="32"/>
          <w:highlight w:val="none"/>
          <w14:textFill>
            <w14:solidFill>
              <w14:schemeClr w14:val="tx1"/>
            </w14:solidFill>
          </w14:textFill>
        </w:rPr>
        <w:t>打造</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“开封礼物”</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“宋潮有礼”</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等文创品牌，</w:t>
      </w:r>
      <w:r>
        <w:rPr>
          <w:rFonts w:hint="eastAsia" w:ascii="仿宋_GB2312" w:hAnsi="仿宋_GB2312" w:eastAsia="仿宋_GB2312" w:cs="仿宋_GB2312"/>
          <w:color w:val="000000" w:themeColor="text1"/>
          <w:sz w:val="32"/>
          <w:szCs w:val="32"/>
          <w:highlight w:val="none"/>
          <w14:textFill>
            <w14:solidFill>
              <w14:schemeClr w14:val="tx1"/>
            </w14:solidFill>
          </w14:textFill>
        </w:rPr>
        <w:t>自营文创店</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highlight w:val="none"/>
          <w14:textFill>
            <w14:solidFill>
              <w14:schemeClr w14:val="tx1"/>
            </w14:solidFill>
          </w14:textFill>
        </w:rPr>
        <w:t>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文创</w:t>
      </w:r>
      <w:r>
        <w:rPr>
          <w:rFonts w:hint="eastAsia" w:ascii="仿宋_GB2312" w:hAnsi="仿宋_GB2312" w:eastAsia="仿宋_GB2312" w:cs="仿宋_GB2312"/>
          <w:color w:val="000000" w:themeColor="text1"/>
          <w:sz w:val="32"/>
          <w:szCs w:val="32"/>
          <w:highlight w:val="none"/>
          <w14:textFill>
            <w14:solidFill>
              <w14:schemeClr w14:val="tx1"/>
            </w14:solidFill>
          </w14:textFill>
        </w:rPr>
        <w:t>专柜10余个</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p>
    <w:p w14:paraId="69078015">
      <w:pPr>
        <w:keepNext w:val="0"/>
        <w:keepLines w:val="0"/>
        <w:pageBreakBefore w:val="0"/>
        <w:widowControl/>
        <w:numPr>
          <w:ilvl w:val="0"/>
          <w:numId w:val="0"/>
        </w:numPr>
        <w:kinsoku/>
        <w:wordWrap/>
        <w:overflowPunct/>
        <w:topLinePunct w:val="0"/>
        <w:autoSpaceDE/>
        <w:autoSpaceDN/>
        <w:bidi w:val="0"/>
        <w:adjustRightInd/>
        <w:snapToGrid/>
        <w:spacing w:line="560" w:lineRule="exact"/>
        <w:ind w:left="630" w:leftChars="0"/>
        <w:jc w:val="both"/>
        <w:textAlignment w:val="auto"/>
        <w:rPr>
          <w:rFonts w:hint="eastAsia" w:ascii="楷体" w:hAnsi="楷体" w:eastAsia="楷体" w:cs="楷体"/>
          <w:b/>
          <w:bCs/>
          <w:color w:val="000000" w:themeColor="text1"/>
          <w:kern w:val="2"/>
          <w:sz w:val="32"/>
          <w:szCs w:val="32"/>
          <w:highlight w:val="none"/>
          <w:lang w:val="en-US" w:eastAsia="zh-CN" w:bidi="ar-SA"/>
          <w14:textFill>
            <w14:solidFill>
              <w14:schemeClr w14:val="tx1"/>
            </w14:solidFill>
          </w14:textFill>
        </w:rPr>
      </w:pPr>
      <w:r>
        <w:rPr>
          <w:rFonts w:hint="eastAsia" w:ascii="楷体" w:hAnsi="楷体" w:eastAsia="楷体" w:cs="楷体"/>
          <w:b/>
          <w:bCs/>
          <w:color w:val="000000" w:themeColor="text1"/>
          <w:kern w:val="2"/>
          <w:sz w:val="32"/>
          <w:szCs w:val="32"/>
          <w:highlight w:val="none"/>
          <w:lang w:val="en-US" w:eastAsia="zh-CN" w:bidi="ar-SA"/>
          <w14:textFill>
            <w14:solidFill>
              <w14:schemeClr w14:val="tx1"/>
            </w14:solidFill>
          </w14:textFill>
        </w:rPr>
        <w:t>（三）城市运营（建设）板块</w:t>
      </w:r>
    </w:p>
    <w:p w14:paraId="1A3C70F6">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2024年全</w:t>
      </w:r>
      <w:r>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年累计开展建设项目18个，纳入市重点项目5个，以龙亭片区和铁塔片区为抓手，在北部两厢重点区域做商圈、树产业</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圆满完成宋都御街改造提升工程、龙亭湖生态修复及景观提升工程、珠玑巷游客综合服务中心项目</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、顺河坊一期等</w:t>
      </w:r>
      <w:r>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市重点项目建设任务</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，经过文化赋能、空间重塑，使其成为第42届菊花文化节、乙巳新年庙会期间的文化新地标、消费新亮点，同时为国内外游客展现古城开封新形象</w:t>
      </w:r>
      <w:r>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宋都御街改造提升、龙亭湖生态修复及景观提升工程等重点民生项目，荣获开封市“城市更新工作表现突出单位”称号。960文创园和州桥项目规划建设获中国建设报《河南开封历史文化保护传承纪实》推广。</w:t>
      </w:r>
    </w:p>
    <w:p w14:paraId="2B5B5F6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8"/>
        <w:jc w:val="both"/>
        <w:textAlignment w:val="auto"/>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此外，</w:t>
      </w:r>
      <w:r>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顺利完成</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了</w:t>
      </w:r>
      <w:r>
        <w:rPr>
          <w:rFonts w:hint="default"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开封智慧健康学院的建设和招生工作，首批招收全日制800名学生</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于９月15日入校学习，学校优美的环境、完善的设施、高素质教职工团队得到了学生及家长的高度评价。</w:t>
      </w:r>
    </w:p>
    <w:p w14:paraId="3CAFC022">
      <w:pPr>
        <w:keepNext w:val="0"/>
        <w:keepLines w:val="0"/>
        <w:pageBreakBefore w:val="0"/>
        <w:widowControl/>
        <w:numPr>
          <w:ilvl w:val="0"/>
          <w:numId w:val="0"/>
        </w:numPr>
        <w:kinsoku/>
        <w:wordWrap/>
        <w:overflowPunct/>
        <w:topLinePunct w:val="0"/>
        <w:bidi w:val="0"/>
        <w:snapToGrid/>
        <w:spacing w:line="560" w:lineRule="exact"/>
        <w:ind w:left="630" w:leftChars="0"/>
        <w:jc w:val="both"/>
        <w:textAlignment w:val="auto"/>
        <w:rPr>
          <w:rFonts w:hint="eastAsia" w:ascii="楷体" w:hAnsi="楷体" w:eastAsia="楷体" w:cs="楷体"/>
          <w:b/>
          <w:bCs/>
          <w:color w:val="000000" w:themeColor="text1"/>
          <w:sz w:val="32"/>
          <w:szCs w:val="32"/>
          <w:highlight w:val="none"/>
          <w:lang w:val="en-US" w:eastAsia="zh-CN"/>
          <w14:textFill>
            <w14:solidFill>
              <w14:schemeClr w14:val="tx1"/>
            </w14:solidFill>
          </w14:textFill>
        </w:rPr>
      </w:pPr>
      <w:r>
        <w:rPr>
          <w:rFonts w:hint="eastAsia" w:ascii="楷体" w:hAnsi="楷体" w:eastAsia="楷体" w:cs="楷体"/>
          <w:b/>
          <w:bCs/>
          <w:color w:val="000000" w:themeColor="text1"/>
          <w:sz w:val="32"/>
          <w:szCs w:val="32"/>
          <w:highlight w:val="none"/>
          <w:lang w:val="en-US" w:eastAsia="zh-CN"/>
          <w14:textFill>
            <w14:solidFill>
              <w14:schemeClr w14:val="tx1"/>
            </w14:solidFill>
          </w14:textFill>
        </w:rPr>
        <w:t>（四）金融服务（资产管理）板块</w:t>
      </w:r>
    </w:p>
    <w:p w14:paraId="661D0DAA">
      <w:pPr>
        <w:keepNext w:val="0"/>
        <w:keepLines w:val="0"/>
        <w:pageBreakBefore w:val="0"/>
        <w:widowControl/>
        <w:numPr>
          <w:ilvl w:val="0"/>
          <w:numId w:val="0"/>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2024年，在做好资金保障、化解存量债务、解决遗留问题、盘活闲置资产等方面，不断攻坚克难，控住了债务风险，保证了区域经济稳定。</w:t>
      </w:r>
    </w:p>
    <w:p w14:paraId="49E68A64">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color w:val="000000" w:themeColor="text1"/>
          <w:sz w:val="32"/>
          <w:szCs w:val="32"/>
          <w:highlight w:val="none"/>
          <w:lang w:val="en-US" w:eastAsia="zh-CN" w:bidi="ar-SA"/>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一是化债工作。</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截至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2024年12月底，</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融资板块通过银行贷款、美元债、公司债、政府专项债、融资租赁、信托贷款等多种融资工具累计引入资金，保证了公司刚兑需求；</w:t>
      </w:r>
      <w:r>
        <w:rPr>
          <w:rFonts w:hint="default" w:ascii="Times New Roman" w:hAnsi="Times New Roman" w:eastAsia="仿宋_GB2312" w:cs="Times New Roman"/>
          <w:b/>
          <w:bCs/>
          <w:color w:val="000000" w:themeColor="text1"/>
          <w:kern w:val="2"/>
          <w:sz w:val="32"/>
          <w:szCs w:val="32"/>
          <w:lang w:val="en-US" w:eastAsia="zh-CN" w:bidi="ar-SA"/>
          <w14:textFill>
            <w14:solidFill>
              <w14:schemeClr w14:val="tx1"/>
            </w14:solidFill>
          </w14:textFill>
        </w:rPr>
        <w:t>积极推进</w:t>
      </w:r>
      <w:r>
        <w:rPr>
          <w:rFonts w:hint="default"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产业平台打造</w:t>
      </w:r>
      <w:r>
        <w:rPr>
          <w:rFonts w:hint="eastAsia"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w:t>
      </w:r>
      <w:r>
        <w:rPr>
          <w:rFonts w:hint="default"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文投集团通过旗下产业化平台文旅股份公司在上海证券交易所发行短期私募公司债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；同时，基金公司积极开拓新型融资业务，利用文投优质文旅资源进行数据资产认证，获得郑州数交所颁发的河南省首个文旅企业《数据资产登记证书》，为下步数据资产融资创造了条件</w:t>
      </w:r>
      <w:r>
        <w:rPr>
          <w:rFonts w:hint="default" w:ascii="Times New Roman" w:hAnsi="Times New Roman" w:eastAsia="仿宋_GB2312" w:cs="Times New Roman"/>
          <w:b w:val="0"/>
          <w:bCs w:val="0"/>
          <w:color w:val="000000" w:themeColor="text1"/>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Times New Roman"/>
          <w:b/>
          <w:bCs/>
          <w:color w:val="000000" w:themeColor="text1"/>
          <w:kern w:val="2"/>
          <w:sz w:val="32"/>
          <w:szCs w:val="32"/>
          <w:lang w:val="en-US" w:eastAsia="zh-CN" w:bidi="ar-SA"/>
          <w14:textFill>
            <w14:solidFill>
              <w14:schemeClr w14:val="tx1"/>
            </w14:solidFill>
          </w14:textFill>
        </w:rPr>
        <w:t>二是资产盘活工作。</w:t>
      </w:r>
      <w:r>
        <w:rPr>
          <w:rFonts w:hint="eastAsia"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2024年在</w:t>
      </w:r>
      <w:r>
        <w:rPr>
          <w:rFonts w:hint="default"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盘活闲置资产</w:t>
      </w:r>
      <w:r>
        <w:rPr>
          <w:rFonts w:hint="eastAsia"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、解决遗留问题方面，不断拿出新思路、找到新方法。在</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与省文旅集团的合作事宜</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上</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，为进一步引入外部资源、拓宽融资渠道，与省文旅集团采用现金加资产的方式获取其9%股权。将古城1#-5地块的合作、开发和运营为契机，融入到全省文旅文创深度融合发展的省级战略中去。同时</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双方共同</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谋划</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开封宾馆、大相国寺市场等项目加快推向市场</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；此外，</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妥善解决了国控集团退出龙亭文化产业片区项目相关事宜，</w:t>
      </w:r>
      <w:r>
        <w:rPr>
          <w:rFonts w:hint="default" w:ascii="Times New Roman" w:hAnsi="Times New Roman" w:eastAsia="仿宋_GB2312" w:cs="Times New Roman"/>
          <w:color w:val="000000" w:themeColor="text1"/>
          <w:sz w:val="32"/>
          <w:szCs w:val="32"/>
          <w:highlight w:val="none"/>
          <w:lang w:val="en-US" w:eastAsia="zh-CN" w:bidi="ar-SA"/>
          <w14:textFill>
            <w14:solidFill>
              <w14:schemeClr w14:val="tx1"/>
            </w14:solidFill>
          </w14:textFill>
        </w:rPr>
        <w:t>拟定了整体抵偿方案及实施方案</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bidi="ar-SA"/>
          <w14:textFill>
            <w14:solidFill>
              <w14:schemeClr w14:val="tx1"/>
            </w14:solidFill>
          </w14:textFill>
        </w:rPr>
        <w:t>解决了多年的遗留问题</w:t>
      </w:r>
      <w:r>
        <w:rPr>
          <w:rFonts w:hint="default" w:ascii="Times New Roman" w:hAnsi="Times New Roman" w:eastAsia="仿宋_GB2312" w:cs="Times New Roman"/>
          <w:color w:val="000000" w:themeColor="text1"/>
          <w:sz w:val="32"/>
          <w:szCs w:val="32"/>
          <w:highlight w:val="none"/>
          <w:lang w:val="en-US" w:eastAsia="zh-CN" w:bidi="ar-SA"/>
          <w14:textFill>
            <w14:solidFill>
              <w14:schemeClr w14:val="tx1"/>
            </w14:solidFill>
          </w14:textFill>
        </w:rPr>
        <w:t>。</w:t>
      </w:r>
    </w:p>
    <w:p w14:paraId="70E9FE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jc w:val="both"/>
        <w:textAlignment w:val="auto"/>
        <w:rPr>
          <w:rFonts w:hint="eastAsia" w:ascii="楷体" w:hAnsi="楷体" w:eastAsia="楷体" w:cs="楷体"/>
          <w:b/>
          <w:bCs/>
          <w:color w:val="000000" w:themeColor="text1"/>
          <w:sz w:val="32"/>
          <w:szCs w:val="32"/>
          <w:highlight w:val="none"/>
          <w:lang w:val="en-US" w:eastAsia="zh-CN"/>
          <w14:textFill>
            <w14:solidFill>
              <w14:schemeClr w14:val="tx1"/>
            </w14:solidFill>
          </w14:textFill>
        </w:rPr>
      </w:pPr>
      <w:r>
        <w:rPr>
          <w:rFonts w:hint="eastAsia" w:ascii="楷体" w:hAnsi="楷体" w:eastAsia="楷体" w:cs="楷体"/>
          <w:b/>
          <w:bCs/>
          <w:color w:val="000000" w:themeColor="text1"/>
          <w:sz w:val="32"/>
          <w:szCs w:val="32"/>
          <w:highlight w:val="none"/>
          <w:lang w:val="en-US" w:eastAsia="zh-CN"/>
          <w14:textFill>
            <w14:solidFill>
              <w14:schemeClr w14:val="tx1"/>
            </w14:solidFill>
          </w14:textFill>
        </w:rPr>
        <w:t>（五）招商工作</w:t>
      </w:r>
    </w:p>
    <w:p w14:paraId="2663C6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2024年集团公司成立了招商投资部，秉着“大招商、招大商、找好商”的工作思路，多元化创优招商引资模式，深层次激发招商引资活力。</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今年以来，接洽客商考察60余次，与30余家优强企业建立联络关系</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针对文旅主导产业引入各类商贸产业，主动请进来开展产业和项目推介，主要包括北京爱奇艺公司、上海中航未来文化公司、华夏文化科技集团、东方启明公司、广州凡拓数创、深圳京云智慧、中建丝路建设等国内知名企业</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，并分别</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签订文化旅游战略合作协议</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推动文旅产业深度合作交流</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对有效盘活资产、加快提质增效、</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推动</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古城区</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文旅产业</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向更高水平</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发展</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奠定良好基础</w:t>
      </w:r>
      <w:r>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目前，携手拾里控股公司就2025年上元灯会活动开展合作，春节期间向游客展现了更美的“夜开封”。</w:t>
      </w:r>
    </w:p>
    <w:p w14:paraId="3D75DB2F">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二、锐意创新促改革，聚焦转型谋发展</w:t>
      </w:r>
    </w:p>
    <w:p w14:paraId="4661FAD0">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2023年</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b w:val="0"/>
          <w:bCs w:val="0"/>
          <w:color w:val="000000" w:themeColor="text1"/>
          <w:sz w:val="32"/>
          <w:szCs w:val="32"/>
          <w14:textFill>
            <w14:solidFill>
              <w14:schemeClr w14:val="tx1"/>
            </w14:solidFill>
          </w14:textFill>
        </w:rPr>
        <w:t>月，中央政治局会议提出</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一揽子化债</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政策</w:t>
      </w:r>
      <w:r>
        <w:rPr>
          <w:rFonts w:hint="eastAsia" w:ascii="仿宋_GB2312" w:hAnsi="仿宋_GB2312" w:eastAsia="仿宋_GB2312" w:cs="仿宋_GB2312"/>
          <w:b w:val="0"/>
          <w:bCs w:val="0"/>
          <w:color w:val="000000" w:themeColor="text1"/>
          <w:sz w:val="32"/>
          <w:szCs w:val="32"/>
          <w14:textFill>
            <w14:solidFill>
              <w14:schemeClr w14:val="tx1"/>
            </w14:solidFill>
          </w14:textFill>
        </w:rPr>
        <w:t>后，</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要求</w:t>
      </w:r>
      <w:r>
        <w:rPr>
          <w:rFonts w:hint="eastAsia" w:ascii="仿宋_GB2312" w:hAnsi="仿宋_GB2312" w:eastAsia="仿宋_GB2312" w:cs="仿宋_GB2312"/>
          <w:b w:val="0"/>
          <w:bCs w:val="0"/>
          <w:color w:val="000000" w:themeColor="text1"/>
          <w:sz w:val="32"/>
          <w:szCs w:val="32"/>
          <w14:textFill>
            <w14:solidFill>
              <w14:schemeClr w14:val="tx1"/>
            </w14:solidFill>
          </w14:textFill>
        </w:rPr>
        <w:t>“融资平台名单”内企业只能借新还旧，无法新增融资</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2024年3月，国务院召开防范化解地方债务风险工作视频会议，强调要下更大力气化解融资平台债务风险，加快压降融资平台数量和债务规模。2024年8月，四部门联合发布150号文，要求</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融资平台</w:t>
      </w:r>
      <w:r>
        <w:rPr>
          <w:rFonts w:hint="eastAsia" w:ascii="仿宋_GB2312" w:hAnsi="仿宋_GB2312" w:eastAsia="仿宋_GB2312" w:cs="仿宋_GB2312"/>
          <w:b w:val="0"/>
          <w:bCs w:val="0"/>
          <w:color w:val="000000" w:themeColor="text1"/>
          <w:sz w:val="32"/>
          <w:szCs w:val="32"/>
          <w14:textFill>
            <w14:solidFill>
              <w14:schemeClr w14:val="tx1"/>
            </w14:solidFill>
          </w14:textFill>
        </w:rPr>
        <w:t>于2027年6月末前</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全部</w:t>
      </w:r>
      <w:r>
        <w:rPr>
          <w:rFonts w:hint="eastAsia" w:ascii="仿宋_GB2312" w:hAnsi="仿宋_GB2312" w:eastAsia="仿宋_GB2312" w:cs="仿宋_GB2312"/>
          <w:b w:val="0"/>
          <w:bCs w:val="0"/>
          <w:color w:val="000000" w:themeColor="text1"/>
          <w:sz w:val="32"/>
          <w:szCs w:val="32"/>
          <w14:textFill>
            <w14:solidFill>
              <w14:schemeClr w14:val="tx1"/>
            </w14:solidFill>
          </w14:textFill>
        </w:rPr>
        <w:t>退出平台名单，</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如在</w:t>
      </w:r>
      <w:r>
        <w:rPr>
          <w:rFonts w:hint="eastAsia" w:ascii="仿宋_GB2312" w:hAnsi="仿宋_GB2312" w:eastAsia="仿宋_GB2312" w:cs="仿宋_GB2312"/>
          <w:b w:val="0"/>
          <w:bCs w:val="0"/>
          <w:color w:val="000000" w:themeColor="text1"/>
          <w:sz w:val="32"/>
          <w:szCs w:val="32"/>
          <w14:textFill>
            <w14:solidFill>
              <w14:schemeClr w14:val="tx1"/>
            </w14:solidFill>
          </w14:textFill>
        </w:rPr>
        <w:t>收入结构、资产结构、净利润、现金流等方面仍较多依赖于政府性业务、现金流或财政补贴，</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则</w:t>
      </w:r>
      <w:r>
        <w:rPr>
          <w:rFonts w:hint="eastAsia" w:ascii="仿宋_GB2312" w:hAnsi="仿宋_GB2312" w:eastAsia="仿宋_GB2312" w:cs="仿宋_GB2312"/>
          <w:b w:val="0"/>
          <w:bCs w:val="0"/>
          <w:color w:val="000000" w:themeColor="text1"/>
          <w:sz w:val="32"/>
          <w:szCs w:val="32"/>
          <w14:textFill>
            <w14:solidFill>
              <w14:schemeClr w14:val="tx1"/>
            </w14:solidFill>
          </w14:textFill>
        </w:rPr>
        <w:t>无法实现新增融资</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因此</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w:t>
      </w:r>
      <w:r>
        <w:rPr>
          <w:rStyle w:val="16"/>
          <w:rFonts w:hint="eastAsia" w:ascii="仿宋_GB2312" w:hAnsi="仿宋_GB2312" w:eastAsia="仿宋_GB2312" w:cs="仿宋_GB2312"/>
          <w:b w:val="0"/>
          <w:bCs w:val="0"/>
          <w:color w:val="000000" w:themeColor="text1"/>
          <w:sz w:val="32"/>
          <w:szCs w:val="32"/>
          <w:u w:val="none"/>
          <w14:textFill>
            <w14:solidFill>
              <w14:schemeClr w14:val="tx1"/>
            </w14:solidFill>
          </w14:textFill>
        </w:rPr>
        <w:t>要从本质上实现“退平台”，需要加快转型发展，提升自主经营实力</w:t>
      </w:r>
      <w:r>
        <w:rPr>
          <w:rStyle w:val="16"/>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和自主盈利能力</w:t>
      </w:r>
      <w:r>
        <w:rPr>
          <w:rStyle w:val="16"/>
          <w:rFonts w:hint="eastAsia" w:ascii="仿宋_GB2312" w:hAnsi="仿宋_GB2312" w:eastAsia="仿宋_GB2312" w:cs="仿宋_GB2312"/>
          <w:b w:val="0"/>
          <w:bCs w:val="0"/>
          <w:color w:val="000000" w:themeColor="text1"/>
          <w:sz w:val="32"/>
          <w:szCs w:val="32"/>
          <w:u w:val="none"/>
          <w14:textFill>
            <w14:solidFill>
              <w14:schemeClr w14:val="tx1"/>
            </w14:solidFill>
          </w14:textFill>
        </w:rPr>
        <w:t>，真正实现业务转型和市场化经营。</w:t>
      </w:r>
    </w:p>
    <w:p w14:paraId="13FF98C9">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2024年，为响应国家关于国有企业转型的政策要求，适应经济环境变化、提升公司竞争力、推动创新发展，集团第一时间谋划转型思路，转型发展取得初步成果</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w:t>
      </w:r>
      <w:bookmarkStart w:id="3" w:name="_GoBack"/>
      <w:bookmarkEnd w:id="3"/>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2024年，文投集团先后荣获省国资委颁发的“河南社会责任企业”、市委市政府颁发的“2024年度高质量发展表现突出集体”“城市更新工作表现突出单位”、市国资委颁发的“国有企业考核优秀企业”“产业转型优秀企业”等多项荣誉。</w:t>
      </w:r>
    </w:p>
    <w:p w14:paraId="55641C9C">
      <w:pPr>
        <w:keepNext w:val="0"/>
        <w:keepLines w:val="0"/>
        <w:pageBreakBefore w:val="0"/>
        <w:numPr>
          <w:ilvl w:val="0"/>
          <w:numId w:val="0"/>
        </w:numPr>
        <w:kinsoku/>
        <w:wordWrap/>
        <w:overflowPunct/>
        <w:topLinePunct w:val="0"/>
        <w:bidi w:val="0"/>
        <w:snapToGrid/>
        <w:spacing w:line="560" w:lineRule="exact"/>
        <w:ind w:firstLine="645"/>
        <w:textAlignment w:val="auto"/>
        <w:rPr>
          <w:rFonts w:hint="eastAsia" w:ascii="方正仿宋_GB2312" w:hAnsi="方正仿宋_GB2312" w:eastAsia="方正仿宋_GB2312" w:cs="方正仿宋_GB2312"/>
          <w:b w:val="0"/>
          <w:bCs w:val="0"/>
          <w:sz w:val="32"/>
          <w:szCs w:val="32"/>
          <w:lang w:val="en-US" w:eastAsia="zh-CN"/>
        </w:rPr>
      </w:pPr>
    </w:p>
    <w:p w14:paraId="43494B16">
      <w:pPr>
        <w:pStyle w:val="19"/>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2312" w:hAnsi="方正仿宋_GB2312" w:eastAsia="方正仿宋_GB2312" w:cs="方正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7041C1-2506-49A0-A7D9-A733608665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panose1 w:val="02010609030101010101"/>
    <w:charset w:val="86"/>
    <w:family w:val="modern"/>
    <w:pitch w:val="default"/>
    <w:sig w:usb0="00000001" w:usb1="080E0000" w:usb2="00000000" w:usb3="00000000" w:csb0="00040000" w:csb1="00000000"/>
    <w:embedRegular r:id="rId2" w:fontKey="{B95FB7B0-8149-4355-948A-EA7329A1F461}"/>
  </w:font>
  <w:font w:name="仿宋">
    <w:panose1 w:val="02010609060101010101"/>
    <w:charset w:val="86"/>
    <w:family w:val="auto"/>
    <w:pitch w:val="default"/>
    <w:sig w:usb0="800002BF" w:usb1="38CF7CFA" w:usb2="00000016" w:usb3="00000000" w:csb0="00040001" w:csb1="00000000"/>
    <w:embedRegular r:id="rId3" w:fontKey="{50286268-B066-4736-BBA0-5CD1B5A70AFA}"/>
  </w:font>
  <w:font w:name="方正小标宋简体">
    <w:panose1 w:val="02010601030101010101"/>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4" w:fontKey="{CF2705CE-5E42-46A3-BC81-278412C47C04}"/>
  </w:font>
  <w:font w:name="楷体">
    <w:panose1 w:val="02010609060101010101"/>
    <w:charset w:val="86"/>
    <w:family w:val="auto"/>
    <w:pitch w:val="default"/>
    <w:sig w:usb0="800002BF" w:usb1="38CF7CFA" w:usb2="00000016" w:usb3="00000000" w:csb0="00040001" w:csb1="00000000"/>
    <w:embedRegular r:id="rId5" w:fontKey="{DF374DCA-A7CB-446C-9A8E-315B385F5C3D}"/>
  </w:font>
  <w:font w:name="楷体_GB2312">
    <w:altName w:val="楷体"/>
    <w:panose1 w:val="02010609030101010101"/>
    <w:charset w:val="86"/>
    <w:family w:val="auto"/>
    <w:pitch w:val="default"/>
    <w:sig w:usb0="00000000" w:usb1="00000000" w:usb2="00000000" w:usb3="00000000" w:csb0="00040000" w:csb1="00000000"/>
  </w:font>
  <w:font w:name="国标仿宋">
    <w:altName w:val="仿宋"/>
    <w:panose1 w:val="02000500000000000000"/>
    <w:charset w:val="86"/>
    <w:family w:val="auto"/>
    <w:pitch w:val="default"/>
    <w:sig w:usb0="00000000" w:usb1="00000000" w:usb2="00000016" w:usb3="00000000" w:csb0="000600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9"/>
      <w:lvlText w:val="第%1章　"/>
      <w:lvlJc w:val="left"/>
      <w:pPr>
        <w:tabs>
          <w:tab w:val="left" w:pos="1440"/>
        </w:tabs>
        <w:ind w:left="720" w:hanging="720"/>
      </w:pPr>
      <w:rPr>
        <w:rFonts w:hint="eastAsia" w:cs="Times New Roman"/>
        <w:sz w:val="32"/>
      </w:rPr>
    </w:lvl>
    <w:lvl w:ilvl="1" w:tentative="0">
      <w:start w:val="1"/>
      <w:numFmt w:val="lowerRoman"/>
      <w:lvlText w:val="(%2)"/>
      <w:lvlJc w:val="left"/>
      <w:pPr>
        <w:tabs>
          <w:tab w:val="left" w:pos="861"/>
        </w:tabs>
        <w:ind w:left="861" w:hanging="720"/>
      </w:pPr>
      <w:rPr>
        <w:rFonts w:hint="eastAsia" w:cs="Times New Roman"/>
      </w:rPr>
    </w:lvl>
    <w:lvl w:ilvl="2" w:tentative="0">
      <w:start w:val="1"/>
      <w:numFmt w:val="lowerLetter"/>
      <w:lvlText w:val="(%3)"/>
      <w:lvlJc w:val="left"/>
      <w:pPr>
        <w:tabs>
          <w:tab w:val="left" w:pos="1335"/>
        </w:tabs>
        <w:ind w:left="1335" w:hanging="495"/>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yM2ViYzU1ZjI3ZmMxNzJjYjZmZGE2ODI3YjRjNjUifQ=="/>
  </w:docVars>
  <w:rsids>
    <w:rsidRoot w:val="00000000"/>
    <w:rsid w:val="06AF718B"/>
    <w:rsid w:val="0C536D2F"/>
    <w:rsid w:val="14592BE9"/>
    <w:rsid w:val="1B7336C6"/>
    <w:rsid w:val="21583C6E"/>
    <w:rsid w:val="236D6760"/>
    <w:rsid w:val="26491687"/>
    <w:rsid w:val="282303F9"/>
    <w:rsid w:val="2D212F1B"/>
    <w:rsid w:val="2FC811E9"/>
    <w:rsid w:val="349C4564"/>
    <w:rsid w:val="36C90395"/>
    <w:rsid w:val="38D71B7E"/>
    <w:rsid w:val="4BF03B4A"/>
    <w:rsid w:val="4C2E1C7C"/>
    <w:rsid w:val="4FD80B7D"/>
    <w:rsid w:val="55F47291"/>
    <w:rsid w:val="56265396"/>
    <w:rsid w:val="58ED4416"/>
    <w:rsid w:val="59F02117"/>
    <w:rsid w:val="68787EE0"/>
    <w:rsid w:val="76E5284D"/>
    <w:rsid w:val="78EF080B"/>
    <w:rsid w:val="7B8E7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Salutation"/>
    <w:basedOn w:val="1"/>
    <w:next w:val="1"/>
    <w:qFormat/>
    <w:uiPriority w:val="0"/>
    <w:rPr>
      <w:rFonts w:eastAsia="PMingLiU" w:cs="Calibri"/>
      <w:sz w:val="28"/>
      <w:szCs w:val="28"/>
      <w:lang w:eastAsia="zh-TW"/>
    </w:rPr>
  </w:style>
  <w:style w:type="paragraph" w:styleId="4">
    <w:name w:val="Body Text"/>
    <w:basedOn w:val="1"/>
    <w:next w:val="5"/>
    <w:qFormat/>
    <w:uiPriority w:val="1"/>
    <w:rPr>
      <w:sz w:val="29"/>
      <w:szCs w:val="29"/>
    </w:rPr>
  </w:style>
  <w:style w:type="paragraph" w:customStyle="1" w:styleId="5">
    <w:name w:val="Body Text 21"/>
    <w:basedOn w:val="1"/>
    <w:qFormat/>
    <w:uiPriority w:val="0"/>
    <w:pPr>
      <w:spacing w:after="120" w:line="480" w:lineRule="auto"/>
    </w:pPr>
  </w:style>
  <w:style w:type="paragraph" w:styleId="6">
    <w:name w:val="Body Text Indent"/>
    <w:basedOn w:val="1"/>
    <w:next w:val="7"/>
    <w:qFormat/>
    <w:uiPriority w:val="0"/>
    <w:pPr>
      <w:spacing w:line="360" w:lineRule="auto"/>
      <w:ind w:firstLine="567"/>
    </w:pPr>
    <w:rPr>
      <w:rFonts w:ascii="Calibri" w:hAnsi="Calibri"/>
    </w:rPr>
  </w:style>
  <w:style w:type="paragraph" w:styleId="7">
    <w:name w:val="footer"/>
    <w:basedOn w:val="1"/>
    <w:qFormat/>
    <w:uiPriority w:val="0"/>
    <w:pPr>
      <w:tabs>
        <w:tab w:val="center" w:pos="4153"/>
        <w:tab w:val="right" w:pos="8306"/>
      </w:tabs>
      <w:snapToGrid w:val="0"/>
      <w:jc w:val="left"/>
    </w:pPr>
    <w:rPr>
      <w:sz w:val="18"/>
    </w:rPr>
  </w:style>
  <w:style w:type="paragraph" w:styleId="8">
    <w:name w:val="Block Text"/>
    <w:basedOn w:val="1"/>
    <w:next w:val="1"/>
    <w:unhideWhenUsed/>
    <w:qFormat/>
    <w:uiPriority w:val="99"/>
    <w:pPr>
      <w:spacing w:afterLines="0" w:afterAutospacing="0"/>
      <w:ind w:left="0" w:leftChars="0" w:rightChars="0" w:firstLine="720" w:firstLineChars="200"/>
    </w:pPr>
    <w:rPr>
      <w:rFonts w:ascii="Calibri" w:hAnsi="Calibri" w:eastAsia="仿宋_GB2312" w:cs="Times New Roman"/>
    </w:rPr>
  </w:style>
  <w:style w:type="paragraph" w:styleId="9">
    <w:name w:val="Body Text 2"/>
    <w:basedOn w:val="1"/>
    <w:next w:val="4"/>
    <w:unhideWhenUsed/>
    <w:qFormat/>
    <w:uiPriority w:val="99"/>
    <w:pPr>
      <w:widowControl/>
      <w:numPr>
        <w:ilvl w:val="0"/>
        <w:numId w:val="1"/>
      </w:numPr>
      <w:tabs>
        <w:tab w:val="clear" w:pos="1440"/>
      </w:tabs>
      <w:spacing w:beforeLines="50" w:line="336" w:lineRule="auto"/>
      <w:ind w:left="0" w:firstLine="0"/>
    </w:pPr>
    <w:rPr>
      <w:rFonts w:eastAsia="黑体"/>
      <w:szCs w:val="20"/>
      <w:lang w:val="en-GB"/>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w:basedOn w:val="4"/>
    <w:next w:val="12"/>
    <w:unhideWhenUsed/>
    <w:qFormat/>
    <w:uiPriority w:val="99"/>
    <w:pPr>
      <w:ind w:firstLine="420" w:firstLineChars="100"/>
    </w:pPr>
  </w:style>
  <w:style w:type="paragraph" w:styleId="12">
    <w:name w:val="Body Text First Indent 2"/>
    <w:basedOn w:val="6"/>
    <w:next w:val="4"/>
    <w:qFormat/>
    <w:uiPriority w:val="0"/>
    <w:pPr>
      <w:spacing w:line="560" w:lineRule="exact"/>
      <w:ind w:firstLine="420" w:firstLineChars="200"/>
    </w:pPr>
    <w:rPr>
      <w:rFonts w:ascii="Times New Roman" w:hAnsi="Times New Roman" w:eastAsia="仿宋"/>
      <w:sz w:val="3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Heading #1|1"/>
    <w:basedOn w:val="1"/>
    <w:qFormat/>
    <w:uiPriority w:val="0"/>
    <w:pPr>
      <w:spacing w:before="100" w:after="440" w:line="648" w:lineRule="exact"/>
      <w:jc w:val="center"/>
      <w:outlineLvl w:val="0"/>
    </w:pPr>
    <w:rPr>
      <w:rFonts w:ascii="宋体" w:hAnsi="宋体" w:eastAsia="宋体" w:cs="宋体"/>
      <w:sz w:val="42"/>
      <w:szCs w:val="42"/>
      <w:lang w:val="zh-TW" w:eastAsia="zh-TW" w:bidi="zh-TW"/>
    </w:rPr>
  </w:style>
  <w:style w:type="paragraph" w:customStyle="1" w:styleId="19">
    <w:name w:val="Body text|1"/>
    <w:basedOn w:val="1"/>
    <w:qFormat/>
    <w:uiPriority w:val="0"/>
    <w:pPr>
      <w:spacing w:line="473" w:lineRule="auto"/>
      <w:ind w:firstLine="400"/>
    </w:pPr>
    <w:rPr>
      <w:rFonts w:ascii="宋体" w:hAnsi="宋体" w:eastAsia="宋体" w:cs="宋体"/>
      <w:sz w:val="28"/>
      <w:szCs w:val="28"/>
      <w:lang w:val="zh-TW" w:eastAsia="zh-TW" w:bidi="zh-TW"/>
    </w:rPr>
  </w:style>
  <w:style w:type="paragraph" w:customStyle="1" w:styleId="20">
    <w:name w:val="_Style 1"/>
    <w:basedOn w:val="1"/>
    <w:qFormat/>
    <w:uiPriority w:val="0"/>
    <w:pPr>
      <w:spacing w:line="481" w:lineRule="atLeast"/>
      <w:ind w:firstLine="623"/>
      <w:textAlignment w:val="baseline"/>
    </w:pPr>
    <w:rPr>
      <w:rFonts w:eastAsia="仿宋_GB2312"/>
      <w:color w:val="000000"/>
      <w:sz w:val="31"/>
    </w:rPr>
  </w:style>
  <w:style w:type="paragraph" w:customStyle="1" w:styleId="21">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正文文本 21"/>
    <w:basedOn w:val="1"/>
    <w:qFormat/>
    <w:uiPriority w:val="0"/>
    <w:pPr>
      <w:spacing w:after="120" w:line="480" w:lineRule="auto"/>
    </w:pPr>
    <w:rPr>
      <w:rFonts w:ascii="Times New Roman" w:hAnsi="Times New Roman"/>
      <w:szCs w:val="24"/>
    </w:rPr>
  </w:style>
  <w:style w:type="paragraph" w:customStyle="1" w:styleId="23">
    <w:name w:val="UserStyle_0"/>
    <w:basedOn w:val="1"/>
    <w:autoRedefine/>
    <w:qFormat/>
    <w:uiPriority w:val="0"/>
    <w:pPr>
      <w:spacing w:beforeAutospacing="0" w:afterAutospacing="0" w:line="481" w:lineRule="atLeast"/>
      <w:ind w:firstLine="623"/>
    </w:pPr>
    <w:rPr>
      <w:rFonts w:ascii="Times New Roman" w:hAnsi="Times New Roman" w:eastAsia="仿宋_GB2312"/>
      <w:color w:val="000000"/>
      <w:sz w:val="3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5439</Words>
  <Characters>5572</Characters>
  <Lines>0</Lines>
  <Paragraphs>0</Paragraphs>
  <TotalTime>20</TotalTime>
  <ScaleCrop>false</ScaleCrop>
  <LinksUpToDate>false</LinksUpToDate>
  <CharactersWithSpaces>5587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2023-01-09T01:30:00Z</dcterms:created>
  <dc:creator>Administrator</dc:creator>
  <cp:lastModifiedBy>对方正在输入...</cp:lastModifiedBy>
  <dcterms:modified xsi:type="dcterms:W3CDTF">2025-04-03T09:26:13Z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C1BE2FB0F2D04DAB955AC0192D1FEEAC_13</vt:lpwstr>
  </property>
  <property fmtid="{D5CDD505-2E9C-101B-9397-08002B2CF9AE}" pid="4" name="KSOTemplateDocerSaveRecord">
    <vt:lpwstr>eyJoZGlkIjoiMmMxYzY3M2Y4OTQ2NDE4ZThjMTFiNTEyOWE1NTZjMTciLCJ1c2VySWQiOiIzNDA0MzIwNTcifQ==</vt:lpwstr>
  </property>
</Properties>
</file>